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2B14B4" w:rsidRPr="002B14B4" w:rsidTr="00083615">
        <w:tc>
          <w:tcPr>
            <w:tcW w:w="8856" w:type="dxa"/>
          </w:tcPr>
          <w:p w:rsidR="002B14B4" w:rsidRPr="002B14B4" w:rsidRDefault="002B14B4" w:rsidP="002B14B4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2B14B4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2B14B4" w:rsidRPr="002B14B4" w:rsidTr="00083615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2B14B4" w:rsidRPr="002B14B4" w:rsidTr="00083615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2B14B4" w:rsidRPr="002B14B4" w:rsidRDefault="002B14B4" w:rsidP="002B14B4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2B14B4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 xml:space="preserve">Title:  Mini-Validation of Repeatability for MRM assays run on TSQ Vantage triple quadrupole mass spectrometer </w:t>
                  </w:r>
                </w:p>
              </w:tc>
            </w:tr>
            <w:tr w:rsidR="002B14B4" w:rsidRPr="002B14B4" w:rsidTr="00083615">
              <w:trPr>
                <w:trHeight w:val="528"/>
              </w:trPr>
              <w:tc>
                <w:tcPr>
                  <w:tcW w:w="4326" w:type="dxa"/>
                </w:tcPr>
                <w:p w:rsidR="002B14B4" w:rsidRPr="002B14B4" w:rsidRDefault="002B14B4" w:rsidP="000D1130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2B14B4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</w:t>
                  </w:r>
                  <w:r w:rsidR="000D1130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314" w:type="dxa"/>
                </w:tcPr>
                <w:p w:rsidR="002B14B4" w:rsidRPr="002B14B4" w:rsidRDefault="002B14B4" w:rsidP="002B14B4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2B14B4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2B14B4" w:rsidRPr="002B14B4" w:rsidTr="00083615">
              <w:trPr>
                <w:trHeight w:val="243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2B14B4" w:rsidRPr="002B14B4" w:rsidRDefault="002B14B4" w:rsidP="002B14B4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2B14B4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07/19/2016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2B14B4" w:rsidRPr="002B14B4" w:rsidRDefault="002B14B4" w:rsidP="002B14B4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2B14B4" w:rsidRPr="002B14B4" w:rsidRDefault="002B14B4" w:rsidP="002B14B4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2B14B4" w:rsidRPr="002B14B4" w:rsidRDefault="002B14B4" w:rsidP="002B14B4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The purpose of this document is to describe the characterization of a set of assays based on its repeatability of measurement over 5 days. This is to estimate the performance of the assay measured in a complex sample across several days.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2B14B4" w:rsidRPr="002B14B4" w:rsidRDefault="002B14B4" w:rsidP="002B14B4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This procedure addresses the preparation and running of samples for generating the validation samples in accordance with CPTAC Assay Characterization Guidance Experiment #2. 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2B14B4" w:rsidRPr="002B14B4" w:rsidRDefault="002B14B4" w:rsidP="002B14B4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Microcentrifuge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Vacuum centrifuge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Materials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Water: Optima LC/MS-grade (Fisher Scientific; cat. # W6-4)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Acetonitrile: Optima LC/MS-grade (Fisher Scientific; cat. # A955-4)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Formic Acid: LC-MS Ultra (Sigma-Aldrich; cat. # 14265)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Methanol: Optima LC/MS-grade (Fisher Scientific; cat. # A456-4)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Ammonium formate (Sigma-Aldrich; cat. # 70221)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Ammonium hydroxide (Sigma-Aldrich; cat. # 320145)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Polysulfoethyl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TopTips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100 – 200 µL (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Glygen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>; cat. # TT2SSA.96)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lastRenderedPageBreak/>
        <w:t>Reagents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10 mM Ammonium formate in 25% ACN, pH 3.0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500 mM Ammonium formate in 25% ACN, pH 6.8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80:15:5 (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>) Methanol: Water: Ammonium hydroxide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Crude unlabeled peptides (~60% purity)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Stable isotope-labeled standards (SIS)</w:t>
      </w:r>
    </w:p>
    <w:p w:rsidR="002B14B4" w:rsidRPr="002B14B4" w:rsidRDefault="002B14B4" w:rsidP="002B14B4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Crude unlabeled peptides and SIS (both ~60% purity) from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Fisher Scientific (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PEPotec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SRM peptide library): SIS peptides incorporate a fully atom-labeled </w:t>
      </w:r>
      <w:r w:rsidRPr="002B14B4">
        <w:rPr>
          <w:rFonts w:ascii="Calibri" w:eastAsia="Times New Roman" w:hAnsi="Calibri" w:cs="Times New Roman"/>
          <w:sz w:val="22"/>
          <w:szCs w:val="22"/>
          <w:vertAlign w:val="superscript"/>
        </w:rPr>
        <w:t>13</w:t>
      </w:r>
      <w:r w:rsidRPr="002B14B4">
        <w:rPr>
          <w:rFonts w:ascii="Calibri" w:eastAsia="Times New Roman" w:hAnsi="Calibri" w:cs="Times New Roman"/>
          <w:sz w:val="22"/>
          <w:szCs w:val="22"/>
        </w:rPr>
        <w:t xml:space="preserve">C and </w:t>
      </w:r>
      <w:r w:rsidRPr="002B14B4">
        <w:rPr>
          <w:rFonts w:ascii="Calibri" w:eastAsia="Times New Roman" w:hAnsi="Calibri" w:cs="Times New Roman"/>
          <w:sz w:val="22"/>
          <w:szCs w:val="22"/>
          <w:vertAlign w:val="superscript"/>
        </w:rPr>
        <w:t>15</w:t>
      </w:r>
      <w:r w:rsidRPr="002B14B4">
        <w:rPr>
          <w:rFonts w:ascii="Calibri" w:eastAsia="Times New Roman" w:hAnsi="Calibri" w:cs="Times New Roman"/>
          <w:sz w:val="22"/>
          <w:szCs w:val="22"/>
        </w:rPr>
        <w:t xml:space="preserve">N isotope at the C-terminal lysine (K) or arginine (R) position of each tryptic peptide, resulting in a mass shift of +8 or +10 Da, respectively. Peptides should be provided in 0.1% TFA/50% ACN and stored at -80 °C until use. </w:t>
      </w:r>
    </w:p>
    <w:p w:rsidR="002B14B4" w:rsidRPr="002B14B4" w:rsidRDefault="002B14B4" w:rsidP="002B14B4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Following de-salting via strong cation exchange (SCX) as detailed in Procedure #1 below, prepare stock solutions of the unlabeled and SIS peptides at a concentration of 2 nmol/µL and store at -20 °C. The peptide recovery following SCX clean-up is estimated to be 40%.</w:t>
      </w:r>
    </w:p>
    <w:p w:rsidR="002B14B4" w:rsidRPr="002B14B4" w:rsidRDefault="002B14B4" w:rsidP="002B14B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Matrix</w:t>
      </w:r>
    </w:p>
    <w:p w:rsidR="002B14B4" w:rsidRPr="002B14B4" w:rsidRDefault="002B14B4" w:rsidP="002B14B4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Prepare a background matrix consisting of peptides from the trypsin digestion of human ovarian tissue according to the SOP entitled “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SOP_Tissue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background matrix preparation v1_2-HuiZhang lab.” This background matrix will be used for the preparation of the response curves and for the preparation of the mini-validation of repeatability experiments. 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2B14B4" w:rsidRPr="002B14B4" w:rsidRDefault="002B14B4" w:rsidP="002B14B4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SCX de-salting of stock SIS mix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All centrifugation steps are performed at 2,000 rpm for 1.5 min, unless otherwise specified. De-salt 1 mg of each peptide via SCX.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Condition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Polysulfoethyl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2x with 330 µL of Methanol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Wash 2x with 330 µL of 10 mM Ammonium Formate in 25% ACN, pH 3.0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Wash 2x with 330 µL of 500 mM Ammonium Formate in 25% ACN, pH 6.8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Wash 2x with 330 µL of 10 mM Ammonium Formate in 25% ACN, pH 3.0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Wash 2x with 330 µL of Water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Wash 4x with 330 µL of 10 mM Ammonium Formate in 25% ACN, pH 3.0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Slowly load acidified sample (pH &lt; 3.0) 2x; centrifuge at 1,100 rpm for 5 min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Wash 6x with 330 µL of 10 mM Ammonium Formate in 25% ACN, pH 3.0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Allow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to dry out. Elute sample 2x with 300 µL of 80:15:5 (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>) Methanol: Water: Ammonium Hydroxide; centrifuge at 1,100 rpm for 5 min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Dry eluted sample in a vacuum centrifuge</w:t>
      </w:r>
    </w:p>
    <w:p w:rsidR="002B14B4" w:rsidRPr="002B14B4" w:rsidRDefault="002B14B4" w:rsidP="002B14B4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B14B4" w:rsidRPr="002B14B4" w:rsidRDefault="002B14B4" w:rsidP="002B14B4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B14B4" w:rsidRPr="002B14B4" w:rsidRDefault="002B14B4" w:rsidP="002B14B4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Determination of spike levels and preparation of samples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Determine peptide concentrations to use according to the LLOQ and linear range determined from the response curves in the CPTAC Assay Characterization Guidance Experiment #1 in order to prepare Validation samples at an appropriate concentration. The three SIS spike levels are as follows: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Low: </w:t>
      </w:r>
      <w:r w:rsidR="00774CBA">
        <w:rPr>
          <w:rFonts w:ascii="Calibri" w:eastAsia="Times New Roman" w:hAnsi="Calibri" w:cs="Times New Roman"/>
          <w:sz w:val="22"/>
          <w:szCs w:val="22"/>
        </w:rPr>
        <w:t>1.52</w:t>
      </w:r>
      <w:r w:rsidRPr="002B14B4">
        <w:rPr>
          <w:rFonts w:ascii="Calibri" w:eastAsia="Times New Roman" w:hAnsi="Calibri" w:cs="Times New Roman"/>
          <w:sz w:val="22"/>
          <w:szCs w:val="22"/>
        </w:rPr>
        <w:t xml:space="preserve"> pmol/µL 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Medium: </w:t>
      </w:r>
      <w:r w:rsidR="00774CBA">
        <w:rPr>
          <w:rFonts w:ascii="Calibri" w:eastAsia="Times New Roman" w:hAnsi="Calibri" w:cs="Times New Roman"/>
          <w:sz w:val="22"/>
          <w:szCs w:val="22"/>
        </w:rPr>
        <w:t>22.86</w:t>
      </w:r>
      <w:r w:rsidRPr="002B14B4">
        <w:rPr>
          <w:rFonts w:ascii="Calibri" w:eastAsia="Times New Roman" w:hAnsi="Calibri" w:cs="Times New Roman"/>
          <w:sz w:val="22"/>
          <w:szCs w:val="22"/>
        </w:rPr>
        <w:t xml:space="preserve"> pmol/µL</w:t>
      </w:r>
    </w:p>
    <w:p w:rsidR="002B14B4" w:rsidRPr="002B14B4" w:rsidRDefault="002B14B4" w:rsidP="002B14B4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High: </w:t>
      </w:r>
      <w:r w:rsidR="00774CBA">
        <w:rPr>
          <w:rFonts w:ascii="Calibri" w:eastAsia="Times New Roman" w:hAnsi="Calibri" w:cs="Times New Roman"/>
          <w:sz w:val="22"/>
          <w:szCs w:val="22"/>
        </w:rPr>
        <w:t>228.6</w:t>
      </w:r>
      <w:r w:rsidRPr="002B14B4">
        <w:rPr>
          <w:rFonts w:ascii="Calibri" w:eastAsia="Times New Roman" w:hAnsi="Calibri" w:cs="Times New Roman"/>
          <w:sz w:val="22"/>
          <w:szCs w:val="22"/>
        </w:rPr>
        <w:t xml:space="preserve"> pmol/µL 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These concentrations were selected to approximate 1.5-3.0x LLOQ (Low), 50-100x LLOQ (Medium), and &gt;100x LLOQ (High). The final preparation of each sample contains background matrix (0.1 µg/µL), unlabeled peptides and SIS peptides </w:t>
      </w:r>
      <w:proofErr w:type="gramStart"/>
      <w:r w:rsidRPr="002B14B4">
        <w:rPr>
          <w:rFonts w:ascii="Calibri" w:eastAsia="Times New Roman" w:hAnsi="Calibri" w:cs="Times New Roman"/>
          <w:sz w:val="22"/>
          <w:szCs w:val="22"/>
        </w:rPr>
        <w:t>(</w:t>
      </w:r>
      <w:r w:rsidR="00774CBA">
        <w:rPr>
          <w:rFonts w:ascii="Calibri" w:eastAsia="Times New Roman" w:hAnsi="Calibri" w:cs="Times New Roman"/>
          <w:sz w:val="22"/>
          <w:szCs w:val="22"/>
        </w:rPr>
        <w:t>20</w:t>
      </w:r>
      <w:r w:rsidRPr="002B14B4">
        <w:rPr>
          <w:rFonts w:ascii="Calibri" w:eastAsia="Times New Roman" w:hAnsi="Calibri" w:cs="Times New Roman"/>
          <w:sz w:val="22"/>
          <w:szCs w:val="22"/>
        </w:rPr>
        <w:t xml:space="preserve"> pmol/µL)</w:t>
      </w:r>
      <w:proofErr w:type="gramEnd"/>
      <w:r w:rsidRPr="002B14B4">
        <w:rPr>
          <w:rFonts w:ascii="Calibri" w:eastAsia="Times New Roman" w:hAnsi="Calibri" w:cs="Times New Roman"/>
          <w:sz w:val="22"/>
          <w:szCs w:val="22"/>
        </w:rPr>
        <w:t>.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Dilute matrix </w:t>
      </w:r>
      <w:proofErr w:type="gramStart"/>
      <w:r w:rsidRPr="002B14B4">
        <w:rPr>
          <w:rFonts w:ascii="Calibri" w:eastAsia="Times New Roman" w:hAnsi="Calibri" w:cs="Times New Roman"/>
          <w:sz w:val="22"/>
          <w:szCs w:val="22"/>
        </w:rPr>
        <w:t>to 0.1 µg/µL with 0.2% formic acid</w:t>
      </w:r>
      <w:proofErr w:type="gramEnd"/>
      <w:r w:rsidRPr="002B14B4">
        <w:rPr>
          <w:rFonts w:ascii="Calibri" w:eastAsia="Times New Roman" w:hAnsi="Calibri" w:cs="Times New Roman"/>
          <w:sz w:val="22"/>
          <w:szCs w:val="22"/>
        </w:rPr>
        <w:t>.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Prepare the High sample in the diluted matrix. 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Prepare 1:</w:t>
      </w:r>
      <w:r w:rsidR="00774CBA">
        <w:rPr>
          <w:rFonts w:ascii="Calibri" w:eastAsia="Times New Roman" w:hAnsi="Calibri" w:cs="Times New Roman"/>
          <w:sz w:val="22"/>
          <w:szCs w:val="22"/>
        </w:rPr>
        <w:t>10</w:t>
      </w:r>
      <w:r w:rsidRPr="002B14B4">
        <w:rPr>
          <w:rFonts w:ascii="Calibri" w:eastAsia="Times New Roman" w:hAnsi="Calibri" w:cs="Times New Roman"/>
          <w:sz w:val="22"/>
          <w:szCs w:val="22"/>
        </w:rPr>
        <w:t xml:space="preserve"> and 1:</w:t>
      </w:r>
      <w:r w:rsidR="00774CBA">
        <w:rPr>
          <w:rFonts w:ascii="Calibri" w:eastAsia="Times New Roman" w:hAnsi="Calibri" w:cs="Times New Roman"/>
          <w:sz w:val="22"/>
          <w:szCs w:val="22"/>
        </w:rPr>
        <w:t>15</w:t>
      </w:r>
      <w:bookmarkStart w:id="0" w:name="_GoBack"/>
      <w:bookmarkEnd w:id="0"/>
      <w:r w:rsidRPr="002B14B4">
        <w:rPr>
          <w:rFonts w:ascii="Calibri" w:eastAsia="Times New Roman" w:hAnsi="Calibri" w:cs="Times New Roman"/>
          <w:sz w:val="22"/>
          <w:szCs w:val="22"/>
        </w:rPr>
        <w:t xml:space="preserve"> serial dilutions using the diluted matrix to generate the Medium and Low samples, respectively. 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Store samples at 4 °C (no longer than 48 hours) until LC-MRM MS analysis. </w:t>
      </w:r>
    </w:p>
    <w:p w:rsidR="002B14B4" w:rsidRPr="002B14B4" w:rsidRDefault="002B14B4" w:rsidP="002B14B4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B14B4" w:rsidRPr="002B14B4" w:rsidRDefault="002B14B4" w:rsidP="002B14B4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Execution of LC-MRM MS analysis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Prepare 80 µL of each sample and spike with 8 µL of the SIS peptide mixture.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 xml:space="preserve">Vortex </w:t>
      </w:r>
      <w:proofErr w:type="gramStart"/>
      <w:r w:rsidRPr="002B14B4">
        <w:rPr>
          <w:rFonts w:ascii="Calibri" w:eastAsia="Times New Roman" w:hAnsi="Calibri" w:cs="Times New Roman"/>
          <w:sz w:val="22"/>
          <w:szCs w:val="22"/>
        </w:rPr>
        <w:t>samples,</w:t>
      </w:r>
      <w:proofErr w:type="gramEnd"/>
      <w:r w:rsidRPr="002B14B4">
        <w:rPr>
          <w:rFonts w:ascii="Calibri" w:eastAsia="Times New Roman" w:hAnsi="Calibri" w:cs="Times New Roman"/>
          <w:sz w:val="22"/>
          <w:szCs w:val="22"/>
        </w:rPr>
        <w:t xml:space="preserve"> centrifuge briefly and transfer to autosampler vials. Add sufficient volume to each vial for all of the replicate injections.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Perform LC-MRM MS analysis according to the SOPs entitled “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Chromatography CPTAC MRM TSQ Vantage Assays v1_1-HuiZhang lab” and “SOP_MRM mass spectrometry TSQ Vantage CPTAC Assays v1_1-HuiZhang lab.”</w:t>
      </w:r>
    </w:p>
    <w:p w:rsidR="002B14B4" w:rsidRPr="002B14B4" w:rsidRDefault="002B14B4" w:rsidP="002B14B4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B14B4" w:rsidRPr="002B14B4" w:rsidRDefault="002B14B4" w:rsidP="002B14B4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Run order</w:t>
      </w:r>
    </w:p>
    <w:p w:rsidR="002B14B4" w:rsidRPr="002B14B4" w:rsidRDefault="002B14B4" w:rsidP="002B14B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To avoid artificially minimizing variability, the run order of the samples should be randomized. To minimize carryover, 1 wash is inserted after each “High” sample.</w:t>
      </w:r>
    </w:p>
    <w:p w:rsidR="002B14B4" w:rsidRPr="002B14B4" w:rsidRDefault="002B14B4" w:rsidP="002B14B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B14B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:rsidR="002B14B4" w:rsidRPr="002B14B4" w:rsidRDefault="002B14B4" w:rsidP="002B14B4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Chromatography CPTAC MRM TSQ Vantage Assays v1_1-HuiZhang lab</w:t>
      </w:r>
    </w:p>
    <w:p w:rsidR="002B14B4" w:rsidRPr="002B14B4" w:rsidRDefault="002B14B4" w:rsidP="002B14B4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t>SOP_MRM mass spectrometry TSQ Vantage CPTAC Assays v1_1-HuiZhang lab</w:t>
      </w:r>
    </w:p>
    <w:p w:rsidR="002B14B4" w:rsidRDefault="002B14B4" w:rsidP="002B14B4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SOP_Tissue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background matrix preparation v1_2-HuiZhang lab</w:t>
      </w:r>
    </w:p>
    <w:p w:rsidR="002B14B4" w:rsidRDefault="002B14B4" w:rsidP="002B14B4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B14B4" w:rsidRPr="002B14B4" w:rsidRDefault="002B14B4" w:rsidP="002B14B4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2B14B4" w:rsidRPr="002B14B4" w:rsidRDefault="002B14B4" w:rsidP="002B14B4">
      <w:pPr>
        <w:spacing w:after="200" w:line="276" w:lineRule="auto"/>
        <w:ind w:left="540" w:hanging="180"/>
        <w:rPr>
          <w:rFonts w:ascii="Calibri" w:eastAsia="Times New Roman" w:hAnsi="Calibri" w:cs="Times New Roman"/>
          <w:sz w:val="22"/>
          <w:szCs w:val="22"/>
        </w:rPr>
      </w:pPr>
      <w:r w:rsidRPr="002B14B4">
        <w:rPr>
          <w:rFonts w:ascii="Calibri" w:eastAsia="Times New Roman" w:hAnsi="Calibri" w:cs="Times New Roman"/>
          <w:sz w:val="22"/>
          <w:szCs w:val="22"/>
        </w:rPr>
        <w:lastRenderedPageBreak/>
        <w:t xml:space="preserve">1. Hoofnagle AN, Whiteaker JR, Carr SA, Kuhn E, Liu T, Massoni SA, Thomas SN, Townsend RR, Zimmerman LJ, Boja E, Chen J,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Crimmins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DL, Davies SR, Gao Y, Hiltke TR, Ketchum KA, Kinsinger CR, Mesri M, Meyer MR, Qian WJ,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Schoenherr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RM, Scott MG, Shi T, Whiteley GR, Wrobel JA, Wu C, Ackermann BL,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Aebersold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R, Barnidge DR, Bunk DM, Clarke N, Fishman JB, Grant RP,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Kusebauch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U,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Kushnir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MM,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Lowenthal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MS, Moritz RL,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Neubert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H, Patterson SD, Rockwood AL, Rogers J, Singh RJ, Van Eyk JE, Wong SH, Zhang S, Chan DW, Chen X, Ellis MJ,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Liebler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DC, Rodland KD, Rodriguez H, Smith RD, Zhang Z, Zhang H, Paulovich AG. </w:t>
      </w:r>
      <w:proofErr w:type="gramStart"/>
      <w:r w:rsidRPr="002B14B4">
        <w:rPr>
          <w:rFonts w:ascii="Calibri" w:eastAsia="Times New Roman" w:hAnsi="Calibri" w:cs="Times New Roman"/>
          <w:sz w:val="22"/>
          <w:szCs w:val="22"/>
        </w:rPr>
        <w:t>Recommendations for the Generation, Quantification, Storage, and Handling of Peptides Used for Mass Spectrometry-Based Assays.</w:t>
      </w:r>
      <w:proofErr w:type="gramEnd"/>
      <w:r w:rsidRPr="002B14B4">
        <w:rPr>
          <w:rFonts w:ascii="Calibri" w:eastAsia="Times New Roman" w:hAnsi="Calibri" w:cs="Times New Roman"/>
          <w:sz w:val="22"/>
          <w:szCs w:val="22"/>
        </w:rPr>
        <w:t xml:space="preserve"> </w:t>
      </w:r>
      <w:proofErr w:type="spellStart"/>
      <w:r w:rsidRPr="002B14B4">
        <w:rPr>
          <w:rFonts w:ascii="Calibri" w:eastAsia="Times New Roman" w:hAnsi="Calibri" w:cs="Times New Roman"/>
          <w:sz w:val="22"/>
          <w:szCs w:val="22"/>
        </w:rPr>
        <w:t>Clin</w:t>
      </w:r>
      <w:proofErr w:type="spellEnd"/>
      <w:r w:rsidRPr="002B14B4">
        <w:rPr>
          <w:rFonts w:ascii="Calibri" w:eastAsia="Times New Roman" w:hAnsi="Calibri" w:cs="Times New Roman"/>
          <w:sz w:val="22"/>
          <w:szCs w:val="22"/>
        </w:rPr>
        <w:t xml:space="preserve"> Chem. 2016 Jan</w:t>
      </w:r>
      <w:proofErr w:type="gramStart"/>
      <w:r w:rsidRPr="002B14B4">
        <w:rPr>
          <w:rFonts w:ascii="Calibri" w:eastAsia="Times New Roman" w:hAnsi="Calibri" w:cs="Times New Roman"/>
          <w:sz w:val="22"/>
          <w:szCs w:val="22"/>
        </w:rPr>
        <w:t>;62</w:t>
      </w:r>
      <w:proofErr w:type="gramEnd"/>
      <w:r w:rsidRPr="002B14B4">
        <w:rPr>
          <w:rFonts w:ascii="Calibri" w:eastAsia="Times New Roman" w:hAnsi="Calibri" w:cs="Times New Roman"/>
          <w:sz w:val="22"/>
          <w:szCs w:val="22"/>
        </w:rPr>
        <w:t xml:space="preserve">(1):48-69. </w:t>
      </w:r>
      <w:proofErr w:type="spellStart"/>
      <w:proofErr w:type="gramStart"/>
      <w:r w:rsidRPr="002B14B4">
        <w:rPr>
          <w:rFonts w:ascii="Calibri" w:eastAsia="Times New Roman" w:hAnsi="Calibri" w:cs="Times New Roman"/>
          <w:sz w:val="22"/>
          <w:szCs w:val="22"/>
        </w:rPr>
        <w:t>doi</w:t>
      </w:r>
      <w:proofErr w:type="spellEnd"/>
      <w:proofErr w:type="gramEnd"/>
      <w:r w:rsidRPr="002B14B4">
        <w:rPr>
          <w:rFonts w:ascii="Calibri" w:eastAsia="Times New Roman" w:hAnsi="Calibri" w:cs="Times New Roman"/>
          <w:sz w:val="22"/>
          <w:szCs w:val="22"/>
        </w:rPr>
        <w:t>: 10.1373/clinchem.2015.250563. PubMed PMID: 26719571.</w:t>
      </w:r>
    </w:p>
    <w:p w:rsidR="002B14B4" w:rsidRPr="002B14B4" w:rsidRDefault="002B14B4" w:rsidP="002B14B4">
      <w:pPr>
        <w:spacing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2B14B4" w:rsidRDefault="00DF5811" w:rsidP="002B14B4"/>
    <w:sectPr w:rsidR="00DF5811" w:rsidRPr="002B14B4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7D9" w:rsidRDefault="007B17D9" w:rsidP="00161086">
      <w:r>
        <w:separator/>
      </w:r>
    </w:p>
  </w:endnote>
  <w:endnote w:type="continuationSeparator" w:id="0">
    <w:p w:rsidR="007B17D9" w:rsidRDefault="007B17D9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74CBA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74CBA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7D9" w:rsidRDefault="007B17D9" w:rsidP="00161086">
      <w:r>
        <w:separator/>
      </w:r>
    </w:p>
  </w:footnote>
  <w:footnote w:type="continuationSeparator" w:id="0">
    <w:p w:rsidR="007B17D9" w:rsidRDefault="007B17D9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B17D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B17D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B17D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0D1130"/>
    <w:rsid w:val="00161086"/>
    <w:rsid w:val="002B14B4"/>
    <w:rsid w:val="002B2C7A"/>
    <w:rsid w:val="00774CBA"/>
    <w:rsid w:val="007B17D9"/>
    <w:rsid w:val="00AB3A4B"/>
    <w:rsid w:val="00BA6FCE"/>
    <w:rsid w:val="00CC2BDB"/>
    <w:rsid w:val="00D83774"/>
    <w:rsid w:val="00DF5811"/>
    <w:rsid w:val="00E43392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CC2BDB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CC2BDB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3</cp:revision>
  <dcterms:created xsi:type="dcterms:W3CDTF">2016-12-20T23:36:00Z</dcterms:created>
  <dcterms:modified xsi:type="dcterms:W3CDTF">2016-12-20T23:39:00Z</dcterms:modified>
</cp:coreProperties>
</file>