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35745F" w:rsidRPr="0035745F" w:rsidTr="005A7861">
        <w:tc>
          <w:tcPr>
            <w:tcW w:w="8856" w:type="dxa"/>
          </w:tcPr>
          <w:p w:rsidR="0035745F" w:rsidRPr="0035745F" w:rsidRDefault="0035745F" w:rsidP="0035745F">
            <w:pPr>
              <w:pBdr>
                <w:bottom w:val="single" w:sz="8" w:space="4" w:color="4F81BD"/>
              </w:pBdr>
              <w:spacing w:after="300"/>
              <w:contextualSpacing/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</w:pPr>
            <w:r w:rsidRPr="0035745F">
              <w:rPr>
                <w:rFonts w:ascii="Cambria" w:eastAsia="Times New Roman" w:hAnsi="Cambria" w:cs="Times New Roman"/>
                <w:color w:val="17365D"/>
                <w:spacing w:val="5"/>
                <w:kern w:val="28"/>
                <w:sz w:val="52"/>
                <w:szCs w:val="52"/>
              </w:rPr>
              <w:t>STANDARD OPERATING PROCEDURE</w:t>
            </w:r>
          </w:p>
        </w:tc>
      </w:tr>
      <w:tr w:rsidR="0035745F" w:rsidRPr="0035745F" w:rsidTr="005A7861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6"/>
              <w:gridCol w:w="4314"/>
            </w:tblGrid>
            <w:tr w:rsidR="0035745F" w:rsidRPr="0035745F" w:rsidTr="005A7861">
              <w:trPr>
                <w:trHeight w:val="711"/>
              </w:trPr>
              <w:tc>
                <w:tcPr>
                  <w:tcW w:w="8640" w:type="dxa"/>
                  <w:gridSpan w:val="2"/>
                  <w:tcBorders>
                    <w:top w:val="single" w:sz="4" w:space="0" w:color="auto"/>
                  </w:tcBorders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120" w:after="120" w:line="276" w:lineRule="auto"/>
                    <w:ind w:left="792" w:hanging="792"/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8"/>
                      <w:szCs w:val="28"/>
                    </w:rPr>
                    <w:t>Title:  Liquid Chromatography using Accela system for MRM assays</w:t>
                  </w:r>
                </w:p>
              </w:tc>
            </w:tr>
            <w:tr w:rsidR="0035745F" w:rsidRPr="0035745F" w:rsidTr="005A7861">
              <w:trPr>
                <w:trHeight w:val="528"/>
              </w:trPr>
              <w:tc>
                <w:tcPr>
                  <w:tcW w:w="4326" w:type="dxa"/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Version #:  1.1</w:t>
                  </w:r>
                </w:p>
              </w:tc>
              <w:tc>
                <w:tcPr>
                  <w:tcW w:w="4314" w:type="dxa"/>
                </w:tcPr>
                <w:p w:rsidR="0035745F" w:rsidRPr="0035745F" w:rsidRDefault="0035745F" w:rsidP="0035745F">
                  <w:pPr>
                    <w:tabs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 w:rsidRPr="0035745F"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Author: Hui Zhang Laboratory – Johns Hopkins University</w:t>
                  </w:r>
                </w:p>
              </w:tc>
            </w:tr>
            <w:tr w:rsidR="0035745F" w:rsidRPr="0035745F" w:rsidTr="005A7861">
              <w:trPr>
                <w:trHeight w:val="528"/>
              </w:trPr>
              <w:tc>
                <w:tcPr>
                  <w:tcW w:w="4326" w:type="dxa"/>
                  <w:tcBorders>
                    <w:bottom w:val="single" w:sz="4" w:space="0" w:color="auto"/>
                  </w:tcBorders>
                </w:tcPr>
                <w:p w:rsidR="0035745F" w:rsidRPr="0035745F" w:rsidRDefault="00A365B2" w:rsidP="0035745F">
                  <w:pPr>
                    <w:tabs>
                      <w:tab w:val="center" w:pos="4320"/>
                      <w:tab w:val="right" w:pos="8640"/>
                    </w:tabs>
                    <w:spacing w:before="60" w:after="20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Date: 04/18/2</w:t>
                  </w:r>
                  <w:bookmarkStart w:id="0" w:name="_GoBack"/>
                  <w:bookmarkEnd w:id="0"/>
                  <w:r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  <w:t>017</w:t>
                  </w:r>
                </w:p>
              </w:tc>
              <w:tc>
                <w:tcPr>
                  <w:tcW w:w="4314" w:type="dxa"/>
                  <w:tcBorders>
                    <w:bottom w:val="single" w:sz="4" w:space="0" w:color="auto"/>
                  </w:tcBorders>
                </w:tcPr>
                <w:p w:rsidR="0035745F" w:rsidRPr="0035745F" w:rsidRDefault="0035745F" w:rsidP="0035745F">
                  <w:pPr>
                    <w:tabs>
                      <w:tab w:val="left" w:pos="792"/>
                      <w:tab w:val="center" w:pos="4320"/>
                      <w:tab w:val="right" w:pos="8640"/>
                    </w:tabs>
                    <w:spacing w:before="60" w:after="60" w:line="276" w:lineRule="auto"/>
                    <w:rPr>
                      <w:rFonts w:ascii="Calibri" w:eastAsia="Times New Roman" w:hAnsi="Calibri" w:cs="Times New Roman"/>
                      <w:b/>
                      <w:bCs/>
                      <w:sz w:val="22"/>
                      <w:szCs w:val="22"/>
                    </w:rPr>
                  </w:pPr>
                </w:p>
              </w:tc>
            </w:tr>
          </w:tbl>
          <w:p w:rsidR="0035745F" w:rsidRPr="0035745F" w:rsidRDefault="0035745F" w:rsidP="0035745F">
            <w:pPr>
              <w:tabs>
                <w:tab w:val="center" w:pos="4320"/>
                <w:tab w:val="right" w:pos="8640"/>
              </w:tabs>
              <w:spacing w:after="200" w:line="276" w:lineRule="auto"/>
              <w:jc w:val="center"/>
              <w:rPr>
                <w:rFonts w:ascii="Arial" w:eastAsia="Times New Roman" w:hAnsi="Arial" w:cs="Times New Roman"/>
                <w:b/>
                <w:sz w:val="32"/>
                <w:szCs w:val="22"/>
              </w:rPr>
            </w:pPr>
          </w:p>
        </w:tc>
      </w:tr>
    </w:tbl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Purpose</w:t>
      </w:r>
    </w:p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The purpose of this document is to describe the liquid chromatography (LC) method for quantitative mass spectrometry-based analyses.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Scope</w:t>
      </w:r>
    </w:p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This procedure describes the setup of the LC and the method parameters. It is specific to the operation of the Thermo Scientific Accela system.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Responsibilities</w:t>
      </w:r>
    </w:p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Equipment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HPLC: Accela 1250 Quaternary Low Pump (Thermo Scientific)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Autosampler: Accela Open Autosampler (Thermo Scientific)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Materials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Injection loop: 10 µL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Column heater: Hot pocket (Thermo Scientific; cat. # 92016-150)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Analytical Column: 1.0 mm I.D. x 15 cm Viva C18 3 µm 300 </w:t>
      </w:r>
      <w:r w:rsidRPr="0035745F">
        <w:rPr>
          <w:rFonts w:ascii="Calibri" w:eastAsia="Times New Roman" w:hAnsi="Calibri" w:cs="Arial"/>
          <w:sz w:val="22"/>
          <w:szCs w:val="22"/>
        </w:rPr>
        <w:t>Å</w:t>
      </w:r>
      <w:r w:rsidRPr="0035745F">
        <w:rPr>
          <w:rFonts w:ascii="Calibri" w:eastAsia="Times New Roman" w:hAnsi="Calibri" w:cs="Times New Roman"/>
          <w:sz w:val="22"/>
          <w:szCs w:val="22"/>
        </w:rPr>
        <w:t xml:space="preserve"> (Restek; cat. # 9514361)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Autosampler vials: Polypropylene 12 x 32 mm screw neck vial with caps and PTFE/silicone septum, 300 µL (Waters; cat. # 186002640)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Water: Optima LC/MS-grade (Fisher Scientific; cat. # W6-4)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Acetonitrile: Optima LC/MS-grade (Fisher Scientific; cat. # A955-4)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Formic Acid: LC-MS Ultra (Sigma-Aldrich; cat. # 14265)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Arial" w:eastAsia="Times New Roman" w:hAnsi="Arial" w:cs="Arial"/>
          <w:b/>
          <w:bCs/>
          <w:color w:val="365F91"/>
          <w:sz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lastRenderedPageBreak/>
        <w:t>Solutions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Gradient pump, mobile phase A: Water/0.2 % formic acid </w:t>
      </w:r>
    </w:p>
    <w:p w:rsidR="0035745F" w:rsidRPr="0035745F" w:rsidRDefault="0035745F" w:rsidP="0035745F">
      <w:pPr>
        <w:numPr>
          <w:ilvl w:val="0"/>
          <w:numId w:val="1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Gradient pump, mobile phase B: 90% ACN/0.2% formic acid</w:t>
      </w:r>
    </w:p>
    <w:p w:rsidR="0035745F" w:rsidRPr="0035745F" w:rsidRDefault="0035745F" w:rsidP="0035745F">
      <w:pPr>
        <w:keepNext/>
        <w:keepLines/>
        <w:spacing w:before="480" w:line="276" w:lineRule="auto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35745F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Procedure</w:t>
      </w:r>
    </w:p>
    <w:p w:rsidR="0035745F" w:rsidRPr="0035745F" w:rsidRDefault="0035745F" w:rsidP="0035745F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Autosampler method</w:t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Temperature: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4°C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Syringe: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  <w:t>100 µL</w:t>
      </w: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 xml:space="preserve">Airgap Volume (µl):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3</w:t>
      </w:r>
    </w:p>
    <w:p w:rsidR="0035745F" w:rsidRPr="0035745F" w:rsidRDefault="0035745F" w:rsidP="0035745F">
      <w:pPr>
        <w:tabs>
          <w:tab w:val="left" w:pos="1400"/>
          <w:tab w:val="left" w:pos="3240"/>
          <w:tab w:val="left" w:pos="3600"/>
        </w:tabs>
        <w:autoSpaceDE w:val="0"/>
        <w:autoSpaceDN w:val="0"/>
        <w:adjustRightInd w:val="0"/>
        <w:ind w:left="1350"/>
        <w:rPr>
          <w:rFonts w:ascii="Calibri" w:eastAsia="Times New Roman" w:hAnsi="Calibri" w:cs="Courier New"/>
          <w:color w:val="000000"/>
          <w:sz w:val="22"/>
          <w:szCs w:val="22"/>
        </w:rPr>
      </w:pPr>
      <w:r w:rsidRPr="0035745F">
        <w:rPr>
          <w:rFonts w:ascii="Calibri" w:eastAsia="Times New Roman" w:hAnsi="Calibri" w:cs="Courier New"/>
          <w:color w:val="000000"/>
          <w:sz w:val="22"/>
          <w:szCs w:val="22"/>
        </w:rPr>
        <w:t xml:space="preserve"> </w:t>
      </w:r>
      <w:r w:rsidR="00A365B2">
        <w:rPr>
          <w:rFonts w:ascii="Calibri" w:eastAsia="Times New Roman" w:hAnsi="Calibri" w:cs="Times New Roman"/>
          <w:sz w:val="22"/>
          <w:szCs w:val="22"/>
        </w:rPr>
        <w:t xml:space="preserve">Front Volume (µl): </w:t>
      </w:r>
      <w:r w:rsidR="00A365B2">
        <w:rPr>
          <w:rFonts w:ascii="Calibri" w:eastAsia="Times New Roman" w:hAnsi="Calibri" w:cs="Times New Roman"/>
          <w:sz w:val="22"/>
          <w:szCs w:val="22"/>
        </w:rPr>
        <w:tab/>
      </w:r>
      <w:r w:rsidR="00A365B2">
        <w:rPr>
          <w:rFonts w:ascii="Calibri" w:eastAsia="Times New Roman" w:hAnsi="Calibri" w:cs="Times New Roman"/>
          <w:sz w:val="22"/>
          <w:szCs w:val="22"/>
        </w:rPr>
        <w:tab/>
        <w:t>1.5</w:t>
      </w:r>
    </w:p>
    <w:p w:rsidR="0035745F" w:rsidRPr="0035745F" w:rsidRDefault="00A365B2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>
        <w:rPr>
          <w:rFonts w:ascii="Calibri" w:eastAsia="Times New Roman" w:hAnsi="Calibri" w:cs="Times New Roman"/>
          <w:sz w:val="22"/>
          <w:szCs w:val="22"/>
        </w:rPr>
        <w:t xml:space="preserve"> Rear Volume (µl): </w:t>
      </w:r>
      <w:r>
        <w:rPr>
          <w:rFonts w:ascii="Calibri" w:eastAsia="Times New Roman" w:hAnsi="Calibri" w:cs="Times New Roman"/>
          <w:sz w:val="22"/>
          <w:szCs w:val="22"/>
        </w:rPr>
        <w:tab/>
        <w:t>1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Filling Speed (µl/s):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Pullup Delay (ms):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3000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Inject to: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LC Vlv1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Injection Speed (µl/s):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 xml:space="preserve">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Pre &amp; Post Inject Delay (ms):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500, 500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Needle Gap Valve Clean (mm): 3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Valve Clean Time Solvent 2 (s): 2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Post Clean Time Solvent 2 (s): 2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Valve Clean Time Solvent 1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Post Clean Time Solvent 1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Stator Wash: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Delay Stator Wash (s): </w:t>
      </w:r>
      <w:r w:rsidRPr="0035745F">
        <w:rPr>
          <w:rFonts w:ascii="Calibri" w:eastAsia="Times New Roman" w:hAnsi="Calibri" w:cs="Times New Roman"/>
          <w:sz w:val="22"/>
          <w:szCs w:val="22"/>
        </w:rPr>
        <w:tab/>
        <w:t>120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Stator Wash Time Solvent 2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 xml:space="preserve"> Stator Wash Time Solvent 1 (s): 5</w:t>
      </w:r>
    </w:p>
    <w:p w:rsidR="0035745F" w:rsidRPr="0035745F" w:rsidRDefault="0035745F" w:rsidP="0035745F">
      <w:pPr>
        <w:spacing w:line="276" w:lineRule="auto"/>
        <w:ind w:left="1350"/>
        <w:rPr>
          <w:rFonts w:ascii="Calibri" w:eastAsia="Times New Roman" w:hAnsi="Calibri" w:cs="Times New Roman"/>
          <w:sz w:val="22"/>
          <w:szCs w:val="22"/>
        </w:rPr>
      </w:pPr>
    </w:p>
    <w:p w:rsidR="0035745F" w:rsidRPr="0035745F" w:rsidRDefault="0035745F" w:rsidP="0035745F">
      <w:pPr>
        <w:numPr>
          <w:ilvl w:val="0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Gradient method:</w:t>
      </w:r>
    </w:p>
    <w:p w:rsidR="0035745F" w:rsidRPr="0035745F" w:rsidRDefault="0035745F" w:rsidP="0035745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Flow rate: 50 µL/min</w:t>
      </w:r>
    </w:p>
    <w:p w:rsidR="0035745F" w:rsidRPr="0035745F" w:rsidRDefault="0035745F" w:rsidP="0035745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Column heater temperature: 50 °C</w:t>
      </w:r>
    </w:p>
    <w:p w:rsidR="0035745F" w:rsidRPr="0035745F" w:rsidRDefault="0035745F" w:rsidP="0035745F">
      <w:pPr>
        <w:numPr>
          <w:ilvl w:val="1"/>
          <w:numId w:val="2"/>
        </w:numPr>
        <w:spacing w:after="200" w:line="276" w:lineRule="auto"/>
        <w:contextualSpacing/>
        <w:rPr>
          <w:rFonts w:ascii="Calibri" w:eastAsia="Times New Roman" w:hAnsi="Calibri" w:cs="Times New Roman"/>
          <w:sz w:val="22"/>
          <w:szCs w:val="22"/>
        </w:rPr>
      </w:pPr>
      <w:r w:rsidRPr="0035745F">
        <w:rPr>
          <w:rFonts w:ascii="Calibri" w:eastAsia="Times New Roman" w:hAnsi="Calibri" w:cs="Times New Roman"/>
          <w:sz w:val="22"/>
          <w:szCs w:val="22"/>
        </w:rPr>
        <w:t>Timetable:</w:t>
      </w:r>
    </w:p>
    <w:tbl>
      <w:tblPr>
        <w:tblStyle w:val="3"/>
        <w:tblpPr w:leftFromText="180" w:rightFromText="180" w:vertAnchor="text" w:horzAnchor="margin" w:tblpXSpec="center" w:tblpY="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1748"/>
        <w:gridCol w:w="718"/>
      </w:tblGrid>
      <w:tr w:rsidR="0035745F" w:rsidRPr="0035745F" w:rsidTr="005A78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tcBorders>
              <w:bottom w:val="none" w:sz="0" w:space="0" w:color="auto"/>
            </w:tcBorders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</w:rPr>
            </w:pPr>
            <w:r w:rsidRPr="0035745F">
              <w:rPr>
                <w:rFonts w:ascii="Calibri" w:eastAsia="Times New Roman" w:hAnsi="Calibri" w:cs="Times New Roman"/>
              </w:rPr>
              <w:t>Retention (min)</w:t>
            </w:r>
          </w:p>
        </w:tc>
        <w:tc>
          <w:tcPr>
            <w:tcW w:w="1748" w:type="dxa"/>
            <w:tcBorders>
              <w:bottom w:val="none" w:sz="0" w:space="0" w:color="auto"/>
            </w:tcBorders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35745F">
              <w:rPr>
                <w:rFonts w:ascii="Calibri" w:eastAsia="Times New Roman" w:hAnsi="Calibri" w:cs="Times New Roman"/>
              </w:rPr>
              <w:t>Flow (µL/min)</w:t>
            </w:r>
          </w:p>
        </w:tc>
        <w:tc>
          <w:tcPr>
            <w:tcW w:w="718" w:type="dxa"/>
            <w:tcBorders>
              <w:bottom w:val="none" w:sz="0" w:space="0" w:color="auto"/>
            </w:tcBorders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</w:rPr>
            </w:pPr>
            <w:r w:rsidRPr="0035745F">
              <w:rPr>
                <w:rFonts w:ascii="Calibri" w:eastAsia="Times New Roman" w:hAnsi="Calibri" w:cs="Times New Roman"/>
              </w:rPr>
              <w:t>%B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0.00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8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15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33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50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36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41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95.00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42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  <w:tr w:rsidR="0035745F" w:rsidRPr="0035745F" w:rsidTr="005A78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98" w:type="dxa"/>
            <w:vAlign w:val="center"/>
          </w:tcPr>
          <w:p w:rsidR="0035745F" w:rsidRPr="0035745F" w:rsidRDefault="00A365B2" w:rsidP="0035745F">
            <w:pPr>
              <w:contextualSpacing/>
              <w:jc w:val="center"/>
              <w:rPr>
                <w:rFonts w:ascii="Calibri" w:eastAsia="Times New Roman" w:hAnsi="Calibri" w:cs="Times New Roman"/>
                <w:color w:val="0000FF"/>
              </w:rPr>
            </w:pPr>
            <w:r>
              <w:rPr>
                <w:rFonts w:ascii="Calibri" w:eastAsia="Times New Roman" w:hAnsi="Calibri" w:cs="Times New Roman"/>
                <w:color w:val="0000FF"/>
              </w:rPr>
              <w:t>50</w:t>
            </w:r>
            <w:r w:rsidR="0035745F" w:rsidRPr="0035745F">
              <w:rPr>
                <w:rFonts w:ascii="Calibri" w:eastAsia="Times New Roman" w:hAnsi="Calibri" w:cs="Times New Roman"/>
                <w:color w:val="0000FF"/>
              </w:rPr>
              <w:t>.00</w:t>
            </w:r>
          </w:p>
        </w:tc>
        <w:tc>
          <w:tcPr>
            <w:tcW w:w="174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50</w:t>
            </w:r>
          </w:p>
        </w:tc>
        <w:tc>
          <w:tcPr>
            <w:tcW w:w="718" w:type="dxa"/>
            <w:vAlign w:val="center"/>
          </w:tcPr>
          <w:p w:rsidR="0035745F" w:rsidRPr="0035745F" w:rsidRDefault="0035745F" w:rsidP="0035745F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FF"/>
              </w:rPr>
            </w:pPr>
            <w:r w:rsidRPr="0035745F">
              <w:rPr>
                <w:rFonts w:ascii="Calibri" w:eastAsia="Times New Roman" w:hAnsi="Calibri" w:cs="Times New Roman"/>
                <w:color w:val="0000FF"/>
              </w:rPr>
              <w:t>1.00</w:t>
            </w:r>
          </w:p>
        </w:tc>
      </w:tr>
    </w:tbl>
    <w:p w:rsidR="0035745F" w:rsidRPr="0035745F" w:rsidRDefault="0035745F" w:rsidP="0035745F">
      <w:pPr>
        <w:spacing w:after="200" w:line="276" w:lineRule="auto"/>
        <w:rPr>
          <w:rFonts w:ascii="Calibri" w:eastAsia="Times New Roman" w:hAnsi="Calibri" w:cs="Times New Roman"/>
          <w:sz w:val="22"/>
          <w:szCs w:val="22"/>
        </w:rPr>
      </w:pPr>
    </w:p>
    <w:p w:rsidR="00DF5811" w:rsidRPr="0035745F" w:rsidRDefault="00DF5811" w:rsidP="0035745F"/>
    <w:sectPr w:rsidR="00DF5811" w:rsidRPr="0035745F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56F" w:rsidRDefault="00BB556F" w:rsidP="00161086">
      <w:r>
        <w:separator/>
      </w:r>
    </w:p>
  </w:endnote>
  <w:endnote w:type="continuationSeparator" w:id="0">
    <w:p w:rsidR="00BB556F" w:rsidRDefault="00BB556F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4B" w:rsidRPr="00E258E9" w:rsidRDefault="00AB3A4B" w:rsidP="00AB3A4B">
    <w:pPr>
      <w:pStyle w:val="a5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PAGE </w:instrText>
    </w:r>
    <w:r w:rsidRPr="00E258E9">
      <w:rPr>
        <w:rStyle w:val="a9"/>
        <w:rFonts w:ascii="Arial" w:hAnsi="Arial" w:cs="Arial"/>
        <w:b/>
      </w:rPr>
      <w:fldChar w:fldCharType="separate"/>
    </w:r>
    <w:r w:rsidR="00A365B2">
      <w:rPr>
        <w:rStyle w:val="a9"/>
        <w:rFonts w:ascii="Arial" w:hAnsi="Arial" w:cs="Arial"/>
        <w:b/>
        <w:noProof/>
      </w:rPr>
      <w:t>1</w:t>
    </w:r>
    <w:r w:rsidRPr="00E258E9">
      <w:rPr>
        <w:rStyle w:val="a9"/>
        <w:rFonts w:ascii="Arial" w:hAnsi="Arial" w:cs="Arial"/>
        <w:b/>
      </w:rPr>
      <w:fldChar w:fldCharType="end"/>
    </w:r>
    <w:r w:rsidRPr="00E258E9">
      <w:rPr>
        <w:rStyle w:val="a9"/>
        <w:rFonts w:ascii="Arial" w:hAnsi="Arial" w:cs="Arial"/>
        <w:b/>
      </w:rPr>
      <w:t xml:space="preserve"> of </w:t>
    </w:r>
    <w:r w:rsidRPr="00E258E9">
      <w:rPr>
        <w:rStyle w:val="a9"/>
        <w:rFonts w:ascii="Arial" w:hAnsi="Arial" w:cs="Arial"/>
        <w:b/>
      </w:rPr>
      <w:fldChar w:fldCharType="begin"/>
    </w:r>
    <w:r w:rsidRPr="00E258E9">
      <w:rPr>
        <w:rStyle w:val="a9"/>
        <w:rFonts w:ascii="Arial" w:hAnsi="Arial" w:cs="Arial"/>
        <w:b/>
      </w:rPr>
      <w:instrText xml:space="preserve"> NUMPAGES </w:instrText>
    </w:r>
    <w:r w:rsidRPr="00E258E9">
      <w:rPr>
        <w:rStyle w:val="a9"/>
        <w:rFonts w:ascii="Arial" w:hAnsi="Arial" w:cs="Arial"/>
        <w:b/>
      </w:rPr>
      <w:fldChar w:fldCharType="separate"/>
    </w:r>
    <w:r w:rsidR="00A365B2">
      <w:rPr>
        <w:rStyle w:val="a9"/>
        <w:rFonts w:ascii="Arial" w:hAnsi="Arial" w:cs="Arial"/>
        <w:b/>
        <w:noProof/>
      </w:rPr>
      <w:t>2</w:t>
    </w:r>
    <w:r w:rsidRPr="00E258E9">
      <w:rPr>
        <w:rStyle w:val="a9"/>
        <w:rFonts w:ascii="Arial" w:hAnsi="Arial" w:cs="Arial"/>
        <w:b/>
      </w:rPr>
      <w:fldChar w:fldCharType="end"/>
    </w:r>
  </w:p>
  <w:p w:rsidR="00161086" w:rsidRDefault="0016108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56F" w:rsidRDefault="00BB556F" w:rsidP="00161086">
      <w:r>
        <w:separator/>
      </w:r>
    </w:p>
  </w:footnote>
  <w:footnote w:type="continuationSeparator" w:id="0">
    <w:p w:rsidR="00BB556F" w:rsidRDefault="00BB556F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B556F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B556F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086" w:rsidRDefault="00BB556F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161086"/>
    <w:rsid w:val="0035745F"/>
    <w:rsid w:val="007F5B7A"/>
    <w:rsid w:val="00A365B2"/>
    <w:rsid w:val="00AB3A4B"/>
    <w:rsid w:val="00BA6FCE"/>
    <w:rsid w:val="00BB556F"/>
    <w:rsid w:val="00D83774"/>
    <w:rsid w:val="00DF5811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  <w15:docId w15:val="{98DB913F-5B12-4CE1-A9C8-35E516237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iPriority="0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a4">
    <w:name w:val="header"/>
    <w:basedOn w:val="a"/>
    <w:link w:val="Char0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0">
    <w:name w:val="머리글 Char"/>
    <w:basedOn w:val="a0"/>
    <w:link w:val="a4"/>
    <w:uiPriority w:val="99"/>
    <w:rsid w:val="00161086"/>
  </w:style>
  <w:style w:type="paragraph" w:styleId="a5">
    <w:name w:val="footer"/>
    <w:basedOn w:val="a"/>
    <w:link w:val="Char1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Char1">
    <w:name w:val="바닥글 Char"/>
    <w:basedOn w:val="a0"/>
    <w:link w:val="a5"/>
    <w:uiPriority w:val="99"/>
    <w:rsid w:val="00161086"/>
  </w:style>
  <w:style w:type="character" w:customStyle="1" w:styleId="1Char">
    <w:name w:val="제목 1 Char"/>
    <w:basedOn w:val="a0"/>
    <w:link w:val="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7">
    <w:name w:val="Title"/>
    <w:basedOn w:val="a"/>
    <w:next w:val="a"/>
    <w:link w:val="Char2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제목 Char"/>
    <w:basedOn w:val="a0"/>
    <w:link w:val="a7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8">
    <w:name w:val="Strong"/>
    <w:basedOn w:val="a0"/>
    <w:uiPriority w:val="22"/>
    <w:qFormat/>
    <w:rsid w:val="00AB3A4B"/>
    <w:rPr>
      <w:b/>
      <w:bCs/>
    </w:rPr>
  </w:style>
  <w:style w:type="character" w:styleId="a9">
    <w:name w:val="page number"/>
    <w:basedOn w:val="a0"/>
    <w:rsid w:val="00AB3A4B"/>
  </w:style>
  <w:style w:type="table" w:styleId="3">
    <w:name w:val="Table Classic 3"/>
    <w:basedOn w:val="a1"/>
    <w:rsid w:val="0035745F"/>
    <w:pPr>
      <w:spacing w:after="200" w:line="276" w:lineRule="auto"/>
    </w:pPr>
    <w:rPr>
      <w:color w:val="000080"/>
      <w:sz w:val="22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NCI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KyungCho Cho</cp:lastModifiedBy>
  <cp:revision>2</cp:revision>
  <dcterms:created xsi:type="dcterms:W3CDTF">2017-04-18T15:44:00Z</dcterms:created>
  <dcterms:modified xsi:type="dcterms:W3CDTF">2017-04-18T15:44:00Z</dcterms:modified>
</cp:coreProperties>
</file>