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6879A0" w:rsidRPr="006879A0" w:rsidTr="005A7861">
        <w:tc>
          <w:tcPr>
            <w:tcW w:w="8856" w:type="dxa"/>
          </w:tcPr>
          <w:p w:rsidR="006879A0" w:rsidRPr="006879A0" w:rsidRDefault="006879A0" w:rsidP="006879A0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6879A0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6879A0" w:rsidRPr="006879A0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5"/>
              <w:gridCol w:w="4199"/>
            </w:tblGrid>
            <w:tr w:rsidR="006879A0" w:rsidRPr="006879A0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 xml:space="preserve">Title:  Mini-Validation of Repeatability for MRM assays run on TSQ Vantage triple quadrupole mass spectrometer </w:t>
                  </w:r>
                </w:p>
              </w:tc>
            </w:tr>
            <w:tr w:rsidR="006879A0" w:rsidRPr="006879A0" w:rsidTr="005A7861">
              <w:trPr>
                <w:trHeight w:val="528"/>
              </w:trPr>
              <w:tc>
                <w:tcPr>
                  <w:tcW w:w="4326" w:type="dxa"/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6879A0" w:rsidRPr="006879A0" w:rsidRDefault="006879A0" w:rsidP="006879A0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6879A0" w:rsidRPr="006879A0" w:rsidTr="005A7861">
              <w:trPr>
                <w:trHeight w:val="243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6879A0" w:rsidRPr="006879A0" w:rsidRDefault="006879A0" w:rsidP="00101457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</w:t>
                  </w:r>
                  <w:r w:rsidR="00101457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4</w:t>
                  </w: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/1</w:t>
                  </w:r>
                  <w:r w:rsidR="00101457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4</w:t>
                  </w:r>
                  <w:r w:rsidRPr="006879A0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/201</w:t>
                  </w:r>
                  <w:r w:rsidR="00101457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6879A0" w:rsidRPr="006879A0" w:rsidRDefault="006879A0" w:rsidP="006879A0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6879A0" w:rsidRPr="006879A0" w:rsidRDefault="006879A0" w:rsidP="006879A0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The purpose of this document is to describe the characterization of a set of assays based on its repeatability of measurement over 5 days. This is to estimate the performance of the assay measured in a complex sample across several days.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This procedure addresses the preparation and running of samples for generating the validation samples in accordance with CPTAC Assay Characterization Guidance Experiment #2.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6879A0" w:rsidRPr="006879A0" w:rsidRDefault="006879A0" w:rsidP="006879A0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Microcentrifuge</w:t>
      </w:r>
      <w:proofErr w:type="spellEnd"/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Vacuum centrifuge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Methanol: Optima LC/MS-grade (Fisher Scientific; cat. # A456-4)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(Sigma-Aldrich; cat. # 70221)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Ammonium hydroxide (Sigma-Aldrich; cat. # 320145)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lastRenderedPageBreak/>
        <w:t>Polysulfoethyl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TopTips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100 – 200 µL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Glygen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; cat. # TT2SSA.96)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Reagents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10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3.0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500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6.8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80:15:5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) Methanol: Water: Ammonium hydroxide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Crude unlabeled peptides (~60% purity)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Stable isotope-labeled standards (SIS)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Crude unlabeled peptides and SIS (both ~60% purity) from Thermo Fisher Scientific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PEPotec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SRM peptide library): SIS peptides incorporate a fully atom-labeled </w:t>
      </w:r>
      <w:r w:rsidRPr="006879A0">
        <w:rPr>
          <w:rFonts w:ascii="Calibri" w:eastAsia="Times New Roman" w:hAnsi="Calibri" w:cs="Times New Roman"/>
          <w:sz w:val="22"/>
          <w:szCs w:val="22"/>
          <w:vertAlign w:val="superscript"/>
        </w:rPr>
        <w:t>13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C and </w:t>
      </w:r>
      <w:r w:rsidRPr="006879A0">
        <w:rPr>
          <w:rFonts w:ascii="Calibri" w:eastAsia="Times New Roman" w:hAnsi="Calibri" w:cs="Times New Roman"/>
          <w:sz w:val="22"/>
          <w:szCs w:val="22"/>
          <w:vertAlign w:val="superscript"/>
        </w:rPr>
        <w:t>15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N isotope at the C-terminal lysine (K) or arginine (R) position of each tryptic peptide, resulting in a mass shift of +8 or +10 Da, respectively. Peptides should be provided in 0.1% TFA/50% ACN and stored at -80 °C until use. 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Following de-salting via strong cation exchange (SCX) as detailed in Procedure #1 below, prepare stock solutions of the unlabeled and SIS peptides at a concentration of 2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nmol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/µL and store at -20 °C. The peptide recovery following SCX clean-up is estimated to be </w:t>
      </w:r>
      <w:r w:rsidR="00336541">
        <w:rPr>
          <w:rFonts w:ascii="Calibri" w:eastAsia="Times New Roman" w:hAnsi="Calibri" w:cs="Times New Roman"/>
          <w:sz w:val="22"/>
          <w:szCs w:val="22"/>
        </w:rPr>
        <w:t>6</w:t>
      </w:r>
      <w:r w:rsidR="00336541" w:rsidRPr="006879A0">
        <w:rPr>
          <w:rFonts w:ascii="Calibri" w:eastAsia="Times New Roman" w:hAnsi="Calibri" w:cs="Times New Roman"/>
          <w:sz w:val="22"/>
          <w:szCs w:val="22"/>
        </w:rPr>
        <w:t>0</w:t>
      </w:r>
      <w:r w:rsidRPr="006879A0">
        <w:rPr>
          <w:rFonts w:ascii="Calibri" w:eastAsia="Times New Roman" w:hAnsi="Calibri" w:cs="Times New Roman"/>
          <w:sz w:val="22"/>
          <w:szCs w:val="22"/>
        </w:rPr>
        <w:t>%.</w:t>
      </w:r>
    </w:p>
    <w:p w:rsidR="006879A0" w:rsidRPr="006879A0" w:rsidRDefault="006879A0" w:rsidP="006879A0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Matrix</w:t>
      </w:r>
    </w:p>
    <w:p w:rsidR="006879A0" w:rsidRPr="006879A0" w:rsidRDefault="006879A0" w:rsidP="006879A0">
      <w:pPr>
        <w:numPr>
          <w:ilvl w:val="1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Prepare a background matrix consisting of peptides from the trypsin digestion of </w:t>
      </w:r>
      <w:r w:rsidR="00336541">
        <w:rPr>
          <w:rFonts w:ascii="Calibri" w:eastAsia="Times New Roman" w:hAnsi="Calibri" w:cs="Times New Roman"/>
          <w:sz w:val="22"/>
          <w:szCs w:val="22"/>
        </w:rPr>
        <w:t>the relevant biological sample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according to the </w:t>
      </w:r>
      <w:r w:rsidR="00336541">
        <w:rPr>
          <w:rFonts w:ascii="Calibri" w:eastAsia="Times New Roman" w:hAnsi="Calibri" w:cs="Times New Roman"/>
          <w:sz w:val="22"/>
          <w:szCs w:val="22"/>
        </w:rPr>
        <w:t xml:space="preserve">appropriate 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SOP. This background matrix will be used for the preparation of the response curves and for the preparation of the mini-validation of repeatability experiments. 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SCX de-salting of stock SIS mix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All centrifugation steps are performed at </w:t>
      </w:r>
      <w:r w:rsidR="003E76EB">
        <w:rPr>
          <w:rFonts w:ascii="Calibri" w:eastAsia="Times New Roman" w:hAnsi="Calibri" w:cs="Times New Roman"/>
          <w:sz w:val="22"/>
          <w:szCs w:val="22"/>
        </w:rPr>
        <w:t>1,800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rpm for 1.5 min, unless otherwise specified. De-salt 1 mg of each peptide via SCX.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Condition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Polysulfoethyl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A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</w:t>
      </w:r>
      <w:r w:rsidR="003E76EB">
        <w:rPr>
          <w:rFonts w:ascii="Calibri" w:eastAsia="Times New Roman" w:hAnsi="Calibri" w:cs="Times New Roman"/>
          <w:sz w:val="22"/>
          <w:szCs w:val="22"/>
        </w:rPr>
        <w:t>4 times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with 330 µL of Methanol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Wash 2x with 330 µL of 10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Wash 2x with 330 µL of 500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6.8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Wash 2x with 330 µL of 10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Wash 2x with 330 µL of Water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Wash 4x with 330 µL of 10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Slowly load acidified sample (pH &lt; 3.0) </w:t>
      </w:r>
      <w:r w:rsidR="003E76EB">
        <w:rPr>
          <w:rFonts w:ascii="Calibri" w:eastAsia="Times New Roman" w:hAnsi="Calibri" w:cs="Times New Roman"/>
          <w:sz w:val="22"/>
          <w:szCs w:val="22"/>
        </w:rPr>
        <w:t>twice</w:t>
      </w:r>
      <w:r w:rsidRPr="006879A0">
        <w:rPr>
          <w:rFonts w:ascii="Calibri" w:eastAsia="Times New Roman" w:hAnsi="Calibri" w:cs="Times New Roman"/>
          <w:sz w:val="22"/>
          <w:szCs w:val="22"/>
        </w:rPr>
        <w:t>; centrifuge at 1,</w:t>
      </w:r>
      <w:r w:rsidR="003E76EB">
        <w:rPr>
          <w:rFonts w:ascii="Calibri" w:eastAsia="Times New Roman" w:hAnsi="Calibri" w:cs="Times New Roman"/>
          <w:sz w:val="22"/>
          <w:szCs w:val="22"/>
        </w:rPr>
        <w:t>0</w:t>
      </w:r>
      <w:r w:rsidRPr="006879A0">
        <w:rPr>
          <w:rFonts w:ascii="Calibri" w:eastAsia="Times New Roman" w:hAnsi="Calibri" w:cs="Times New Roman"/>
          <w:sz w:val="22"/>
          <w:szCs w:val="22"/>
        </w:rPr>
        <w:t>00 rpm for 5 min</w:t>
      </w:r>
      <w:r w:rsidR="003E76EB">
        <w:rPr>
          <w:rFonts w:ascii="Calibri" w:eastAsia="Times New Roman" w:hAnsi="Calibri" w:cs="Times New Roman"/>
          <w:sz w:val="22"/>
          <w:szCs w:val="22"/>
        </w:rPr>
        <w:t xml:space="preserve"> each time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Wash 6x with 330 µL of 10 mM Ammonium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Formate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in 25% ACN, pH 3.0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Allow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TopTip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to dry out. Elute sample 2x with 300 µL of 80:15:5 (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vol:vol:vol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>) Methanol: Water: Ammonium Hydroxide; centrifuge at 1,</w:t>
      </w:r>
      <w:r w:rsidR="003E76EB">
        <w:rPr>
          <w:rFonts w:ascii="Calibri" w:eastAsia="Times New Roman" w:hAnsi="Calibri" w:cs="Times New Roman"/>
          <w:sz w:val="22"/>
          <w:szCs w:val="22"/>
        </w:rPr>
        <w:t>0</w:t>
      </w:r>
      <w:r w:rsidRPr="006879A0">
        <w:rPr>
          <w:rFonts w:ascii="Calibri" w:eastAsia="Times New Roman" w:hAnsi="Calibri" w:cs="Times New Roman"/>
          <w:sz w:val="22"/>
          <w:szCs w:val="22"/>
        </w:rPr>
        <w:t>00 rpm for 5 min</w:t>
      </w:r>
      <w:r w:rsidR="003E76EB">
        <w:rPr>
          <w:rFonts w:ascii="Calibri" w:eastAsia="Times New Roman" w:hAnsi="Calibri" w:cs="Times New Roman"/>
          <w:sz w:val="22"/>
          <w:szCs w:val="22"/>
        </w:rPr>
        <w:t xml:space="preserve"> each time</w:t>
      </w:r>
    </w:p>
    <w:p w:rsidR="006879A0" w:rsidRPr="006879A0" w:rsidRDefault="006879A0" w:rsidP="006879A0">
      <w:pPr>
        <w:numPr>
          <w:ilvl w:val="2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lastRenderedPageBreak/>
        <w:t>Dry eluted sample in a vacuum centrifuge</w:t>
      </w:r>
    </w:p>
    <w:p w:rsidR="006879A0" w:rsidRPr="006879A0" w:rsidRDefault="006879A0" w:rsidP="006879A0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spacing w:after="200" w:line="276" w:lineRule="auto"/>
        <w:ind w:left="216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Determination of spike levels and preparation of samples</w:t>
      </w:r>
    </w:p>
    <w:p w:rsid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Determine peptide concentrations to use according to the LLOQ and linear range determined from the response curves in the CPTAC Assay Characterization G</w:t>
      </w:r>
      <w:bookmarkStart w:id="0" w:name="_GoBack"/>
      <w:bookmarkEnd w:id="0"/>
      <w:r w:rsidRPr="006879A0">
        <w:rPr>
          <w:rFonts w:ascii="Calibri" w:eastAsia="Times New Roman" w:hAnsi="Calibri" w:cs="Times New Roman"/>
          <w:sz w:val="22"/>
          <w:szCs w:val="22"/>
        </w:rPr>
        <w:t xml:space="preserve">uidance Experiment #1 in order to prepare Validation samples at an appropriate concentration. </w:t>
      </w:r>
      <w:r w:rsidR="009015C4">
        <w:rPr>
          <w:rFonts w:ascii="Calibri" w:eastAsia="Times New Roman" w:hAnsi="Calibri" w:cs="Times New Roman"/>
          <w:sz w:val="22"/>
          <w:szCs w:val="22"/>
        </w:rPr>
        <w:t>For the</w:t>
      </w:r>
      <w:r w:rsidR="00336541">
        <w:rPr>
          <w:rFonts w:ascii="Calibri" w:eastAsia="Times New Roman" w:hAnsi="Calibri" w:cs="Times New Roman"/>
          <w:sz w:val="22"/>
          <w:szCs w:val="22"/>
        </w:rPr>
        <w:t xml:space="preserve"> peptides</w:t>
      </w:r>
      <w:r w:rsidR="009015C4">
        <w:rPr>
          <w:rFonts w:ascii="Calibri" w:eastAsia="Times New Roman" w:hAnsi="Calibri" w:cs="Times New Roman"/>
          <w:sz w:val="22"/>
          <w:szCs w:val="22"/>
        </w:rPr>
        <w:t xml:space="preserve"> in this project, each has its specific LOD and LLOQ. As listed in the table below, three different concentration ranges were </w:t>
      </w:r>
      <w:r w:rsidR="00336541">
        <w:rPr>
          <w:rFonts w:ascii="Calibri" w:eastAsia="Times New Roman" w:hAnsi="Calibri" w:cs="Times New Roman"/>
          <w:sz w:val="22"/>
          <w:szCs w:val="22"/>
        </w:rPr>
        <w:t xml:space="preserve">uniquely </w:t>
      </w:r>
      <w:r w:rsidR="009015C4">
        <w:rPr>
          <w:rFonts w:ascii="Calibri" w:eastAsia="Times New Roman" w:hAnsi="Calibri" w:cs="Times New Roman"/>
          <w:sz w:val="22"/>
          <w:szCs w:val="22"/>
        </w:rPr>
        <w:t xml:space="preserve">assigned for each </w:t>
      </w:r>
      <w:r w:rsidR="00336541">
        <w:rPr>
          <w:rFonts w:ascii="Calibri" w:eastAsia="Times New Roman" w:hAnsi="Calibri" w:cs="Times New Roman"/>
          <w:sz w:val="22"/>
          <w:szCs w:val="22"/>
        </w:rPr>
        <w:t>peptide</w:t>
      </w:r>
      <w:r w:rsidR="009015C4">
        <w:rPr>
          <w:rFonts w:ascii="Calibri" w:eastAsia="Times New Roman" w:hAnsi="Calibri" w:cs="Times New Roman"/>
          <w:sz w:val="22"/>
          <w:szCs w:val="22"/>
        </w:rPr>
        <w:t>.</w:t>
      </w:r>
    </w:p>
    <w:p w:rsidR="00B57015" w:rsidRDefault="00B57015" w:rsidP="00B57015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In tissue matrix:</w:t>
      </w:r>
    </w:p>
    <w:tbl>
      <w:tblPr>
        <w:tblW w:w="7492" w:type="dxa"/>
        <w:tblInd w:w="118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62"/>
        <w:gridCol w:w="2273"/>
        <w:gridCol w:w="955"/>
        <w:gridCol w:w="955"/>
        <w:gridCol w:w="790"/>
        <w:gridCol w:w="903"/>
        <w:gridCol w:w="754"/>
      </w:tblGrid>
      <w:tr w:rsidR="009015C4" w:rsidRPr="009015C4" w:rsidTr="00D0325B">
        <w:trPr>
          <w:trHeight w:val="620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Peptide number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peptide sequence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A3500E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LOD (pmol)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A3500E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LLOQ (pmol)</w:t>
            </w:r>
          </w:p>
        </w:tc>
        <w:tc>
          <w:tcPr>
            <w:tcW w:w="790" w:type="dxa"/>
            <w:shd w:val="clear" w:color="auto" w:fill="auto"/>
            <w:vAlign w:val="center"/>
            <w:hideMark/>
          </w:tcPr>
          <w:p w:rsid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Low</w:t>
            </w:r>
          </w:p>
          <w:p w:rsidR="00A3500E" w:rsidRPr="009015C4" w:rsidRDefault="00A3500E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  <w:tc>
          <w:tcPr>
            <w:tcW w:w="903" w:type="dxa"/>
            <w:shd w:val="clear" w:color="auto" w:fill="auto"/>
            <w:vAlign w:val="center"/>
            <w:hideMark/>
          </w:tcPr>
          <w:p w:rsid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Medium</w:t>
            </w:r>
          </w:p>
          <w:p w:rsidR="00A3500E" w:rsidRPr="009015C4" w:rsidRDefault="00A3500E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  <w:tc>
          <w:tcPr>
            <w:tcW w:w="754" w:type="dxa"/>
            <w:shd w:val="clear" w:color="auto" w:fill="auto"/>
            <w:vAlign w:val="center"/>
            <w:hideMark/>
          </w:tcPr>
          <w:p w:rsid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High</w:t>
            </w:r>
          </w:p>
          <w:p w:rsidR="00A3500E" w:rsidRPr="009015C4" w:rsidRDefault="00A3500E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</w:tr>
      <w:tr w:rsidR="009015C4" w:rsidRPr="009015C4" w:rsidTr="00D0325B">
        <w:trPr>
          <w:trHeight w:val="278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A1,2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M[+16]IENGSLSFLPTLR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9015C4" w:rsidRPr="009015C4" w:rsidTr="00D0325B">
        <w:trPr>
          <w:trHeight w:val="223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A7,8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GNLTYGYVTILNGSDIR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2.35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7.06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176</w:t>
            </w:r>
          </w:p>
        </w:tc>
      </w:tr>
      <w:tr w:rsidR="009015C4" w:rsidRPr="009015C4" w:rsidTr="00D0325B">
        <w:trPr>
          <w:trHeight w:val="154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A9,10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GN[+1]LTYGYVTILNGSDIR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7.12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176</w:t>
            </w:r>
          </w:p>
        </w:tc>
      </w:tr>
      <w:tr w:rsidR="009015C4" w:rsidRPr="009015C4" w:rsidTr="00D0325B">
        <w:trPr>
          <w:trHeight w:val="84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A11,12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NFNASWNSFQNTK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2.09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120</w:t>
            </w:r>
          </w:p>
        </w:tc>
      </w:tr>
      <w:tr w:rsidR="009015C4" w:rsidRPr="009015C4" w:rsidTr="00D0325B">
        <w:trPr>
          <w:trHeight w:val="99"/>
        </w:trPr>
        <w:tc>
          <w:tcPr>
            <w:tcW w:w="862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B5,6</w:t>
            </w:r>
          </w:p>
        </w:tc>
        <w:tc>
          <w:tcPr>
            <w:tcW w:w="2273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VANLTSVVNSLDGK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955" w:type="dxa"/>
            <w:shd w:val="clear" w:color="auto" w:fill="auto"/>
            <w:vAlign w:val="center"/>
            <w:hideMark/>
          </w:tcPr>
          <w:p w:rsidR="009015C4" w:rsidRPr="009015C4" w:rsidRDefault="009015C4" w:rsidP="009015C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3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754" w:type="dxa"/>
            <w:shd w:val="clear" w:color="auto" w:fill="auto"/>
            <w:noWrap/>
            <w:vAlign w:val="center"/>
            <w:hideMark/>
          </w:tcPr>
          <w:p w:rsidR="009015C4" w:rsidRPr="009015C4" w:rsidRDefault="009015C4" w:rsidP="009015C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160</w:t>
            </w:r>
          </w:p>
        </w:tc>
      </w:tr>
    </w:tbl>
    <w:p w:rsidR="00B57015" w:rsidRDefault="00B57015" w:rsidP="00B57015">
      <w:p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B57015" w:rsidRPr="006879A0" w:rsidRDefault="00B57015" w:rsidP="00B57015">
      <w:pPr>
        <w:spacing w:after="200" w:line="276" w:lineRule="auto"/>
        <w:ind w:firstLine="1440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In serum matrix:</w:t>
      </w:r>
    </w:p>
    <w:tbl>
      <w:tblPr>
        <w:tblW w:w="7726" w:type="dxa"/>
        <w:tblInd w:w="118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2372"/>
        <w:gridCol w:w="990"/>
        <w:gridCol w:w="990"/>
        <w:gridCol w:w="786"/>
        <w:gridCol w:w="910"/>
        <w:gridCol w:w="786"/>
      </w:tblGrid>
      <w:tr w:rsidR="00B57015" w:rsidRPr="00B57015" w:rsidTr="00B57015">
        <w:trPr>
          <w:trHeight w:val="594"/>
        </w:trPr>
        <w:tc>
          <w:tcPr>
            <w:tcW w:w="892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Peptide number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peptide sequence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LOD (pmol)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LLOQ (pmol)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Low</w:t>
            </w:r>
          </w:p>
          <w:p w:rsidR="00B57015" w:rsidRP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Medium</w:t>
            </w:r>
          </w:p>
          <w:p w:rsidR="00B57015" w:rsidRP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High</w:t>
            </w:r>
          </w:p>
          <w:p w:rsidR="00B57015" w:rsidRPr="00B57015" w:rsidRDefault="00B57015" w:rsidP="00B57015">
            <w:pPr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9015C4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(pmol)</w:t>
            </w:r>
          </w:p>
        </w:tc>
      </w:tr>
      <w:tr w:rsidR="00B57015" w:rsidRPr="00B57015" w:rsidTr="00B57015">
        <w:trPr>
          <w:trHeight w:val="187"/>
        </w:trPr>
        <w:tc>
          <w:tcPr>
            <w:tcW w:w="892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A1,2</w:t>
            </w:r>
          </w:p>
        </w:tc>
        <w:tc>
          <w:tcPr>
            <w:tcW w:w="2372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M[+16]IENGSLSFLPTLR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990" w:type="dxa"/>
            <w:shd w:val="clear" w:color="auto" w:fill="auto"/>
            <w:vAlign w:val="center"/>
            <w:hideMark/>
          </w:tcPr>
          <w:p w:rsidR="00B57015" w:rsidRPr="00B57015" w:rsidRDefault="00B57015" w:rsidP="00B57015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B57015" w:rsidRPr="00B57015" w:rsidRDefault="00B57015" w:rsidP="00B57015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:rsidR="00B57015" w:rsidRPr="00B57015" w:rsidRDefault="00B57015" w:rsidP="00B57015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:rsidR="00B57015" w:rsidRPr="00B57015" w:rsidRDefault="00B57015" w:rsidP="00B57015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17.6</w:t>
            </w:r>
          </w:p>
        </w:tc>
      </w:tr>
      <w:tr w:rsidR="00C97024" w:rsidRPr="00B57015" w:rsidTr="00C97024">
        <w:trPr>
          <w:trHeight w:val="121"/>
        </w:trPr>
        <w:tc>
          <w:tcPr>
            <w:tcW w:w="89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A7,8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GNLTYGYVTILNGSDIR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7.75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11.6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77.5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193.8</w:t>
            </w:r>
          </w:p>
        </w:tc>
      </w:tr>
      <w:tr w:rsidR="00C97024" w:rsidRPr="00B57015" w:rsidTr="00C97024">
        <w:trPr>
          <w:trHeight w:val="138"/>
        </w:trPr>
        <w:tc>
          <w:tcPr>
            <w:tcW w:w="89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A9,10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GN[+1]LTYGYVTILNGSDIR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82.2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164.3</w:t>
            </w:r>
          </w:p>
        </w:tc>
      </w:tr>
      <w:tr w:rsidR="00C97024" w:rsidRPr="00B57015" w:rsidTr="00C97024">
        <w:trPr>
          <w:trHeight w:val="72"/>
        </w:trPr>
        <w:tc>
          <w:tcPr>
            <w:tcW w:w="89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A11,12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NFNASWNSFQNTK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0.91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60.0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120.0</w:t>
            </w:r>
          </w:p>
        </w:tc>
      </w:tr>
      <w:tr w:rsidR="00C97024" w:rsidRPr="00B57015" w:rsidTr="00C97024">
        <w:trPr>
          <w:trHeight w:val="80"/>
        </w:trPr>
        <w:tc>
          <w:tcPr>
            <w:tcW w:w="89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B5,6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VANLTSVVNSLDGK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1.94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5.83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58.3</w:t>
            </w: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  <w:r w:rsidRPr="00B57015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  <w:t>145.7</w:t>
            </w:r>
          </w:p>
        </w:tc>
      </w:tr>
      <w:tr w:rsidR="00C97024" w:rsidRPr="00B57015" w:rsidTr="00C97024">
        <w:trPr>
          <w:trHeight w:val="64"/>
        </w:trPr>
        <w:tc>
          <w:tcPr>
            <w:tcW w:w="89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:rsidR="00C97024" w:rsidRPr="00B57015" w:rsidRDefault="00C97024" w:rsidP="00C97024">
            <w:pPr>
              <w:jc w:val="center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910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</w:tcPr>
          <w:p w:rsidR="00C97024" w:rsidRPr="00B57015" w:rsidRDefault="00C97024" w:rsidP="00C97024">
            <w:pPr>
              <w:jc w:val="right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</w:rPr>
            </w:pPr>
          </w:p>
        </w:tc>
      </w:tr>
    </w:tbl>
    <w:p w:rsidR="00B57015" w:rsidRDefault="00B57015" w:rsidP="00B57015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These concentrations were selected to approximate 1.5-3.0x LLOQ (Low), 50-100x LLOQ (Medium), and &gt;100x LLOQ (High). The final preparation of each sample contains background matrix (0.</w:t>
      </w:r>
      <w:r w:rsidR="00520EBB">
        <w:rPr>
          <w:rFonts w:ascii="Calibri" w:eastAsia="Times New Roman" w:hAnsi="Calibri" w:cs="Times New Roman"/>
          <w:sz w:val="22"/>
          <w:szCs w:val="22"/>
        </w:rPr>
        <w:t>625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µg/µL), unla</w:t>
      </w:r>
      <w:r w:rsidR="00520EBB">
        <w:rPr>
          <w:rFonts w:ascii="Calibri" w:eastAsia="Times New Roman" w:hAnsi="Calibri" w:cs="Times New Roman"/>
          <w:sz w:val="22"/>
          <w:szCs w:val="22"/>
        </w:rPr>
        <w:t>beled peptides and SIS peptides.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Dilute matrix to 0.</w:t>
      </w:r>
      <w:r w:rsidR="00520EBB">
        <w:rPr>
          <w:rFonts w:ascii="Calibri" w:eastAsia="Times New Roman" w:hAnsi="Calibri" w:cs="Times New Roman"/>
          <w:sz w:val="22"/>
          <w:szCs w:val="22"/>
        </w:rPr>
        <w:t>625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µg/µL with 0.2% formic acid.</w:t>
      </w:r>
    </w:p>
    <w:p w:rsidR="00B57015" w:rsidRDefault="00B57015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>Each day before LC-SRM MS analysis, prepare samples freshly.</w:t>
      </w:r>
    </w:p>
    <w:p w:rsidR="006879A0" w:rsidRPr="006879A0" w:rsidRDefault="006879A0" w:rsidP="006879A0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Execution of LC-MRM MS analysis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Prepare </w:t>
      </w:r>
      <w:r w:rsidR="00B57015">
        <w:rPr>
          <w:rFonts w:ascii="Calibri" w:eastAsia="Times New Roman" w:hAnsi="Calibri" w:cs="Times New Roman"/>
          <w:sz w:val="22"/>
          <w:szCs w:val="22"/>
        </w:rPr>
        <w:t>25</w:t>
      </w:r>
      <w:r w:rsidRPr="006879A0">
        <w:rPr>
          <w:rFonts w:ascii="Calibri" w:eastAsia="Times New Roman" w:hAnsi="Calibri" w:cs="Times New Roman"/>
          <w:sz w:val="22"/>
          <w:szCs w:val="22"/>
        </w:rPr>
        <w:t xml:space="preserve"> µL of each sample 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by mixing 2.5 </w:t>
      </w:r>
      <w:r w:rsidR="00520EBB" w:rsidRPr="006879A0">
        <w:rPr>
          <w:rFonts w:ascii="Calibri" w:eastAsia="Times New Roman" w:hAnsi="Calibri" w:cs="Times New Roman"/>
          <w:sz w:val="22"/>
          <w:szCs w:val="22"/>
        </w:rPr>
        <w:t>µ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L of SIS peptides, 2.5 </w:t>
      </w:r>
      <w:r w:rsidR="00520EBB" w:rsidRPr="006879A0">
        <w:rPr>
          <w:rFonts w:ascii="Calibri" w:eastAsia="Times New Roman" w:hAnsi="Calibri" w:cs="Times New Roman"/>
          <w:sz w:val="22"/>
          <w:szCs w:val="22"/>
        </w:rPr>
        <w:t>µ</w:t>
      </w:r>
      <w:r w:rsidR="00520EBB">
        <w:rPr>
          <w:rFonts w:ascii="Calibri" w:eastAsia="Times New Roman" w:hAnsi="Calibri" w:cs="Times New Roman"/>
          <w:sz w:val="22"/>
          <w:szCs w:val="22"/>
        </w:rPr>
        <w:t>L</w:t>
      </w:r>
      <w:r w:rsidR="00B57015">
        <w:rPr>
          <w:rFonts w:ascii="Calibri" w:eastAsia="Times New Roman" w:hAnsi="Calibri" w:cs="Times New Roman"/>
          <w:sz w:val="22"/>
          <w:szCs w:val="22"/>
        </w:rPr>
        <w:t xml:space="preserve"> 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of unlabeled peptides and 20 </w:t>
      </w:r>
      <w:r w:rsidR="00520EBB" w:rsidRPr="006879A0">
        <w:rPr>
          <w:rFonts w:ascii="Calibri" w:eastAsia="Times New Roman" w:hAnsi="Calibri" w:cs="Times New Roman"/>
          <w:sz w:val="22"/>
          <w:szCs w:val="22"/>
        </w:rPr>
        <w:t>µL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 of background matrix.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Vortex samples, centrifuge briefly and transfer to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autosampler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vials. Add sufficient volume to each vial for all of the replicate injections.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Perform LC-MRM MS analysis according to the SOPs entitled “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lab” and </w:t>
      </w:r>
      <w:r w:rsidRPr="006879A0">
        <w:rPr>
          <w:rFonts w:ascii="Calibri" w:eastAsia="Times New Roman" w:hAnsi="Calibri" w:cs="Times New Roman"/>
          <w:sz w:val="22"/>
          <w:szCs w:val="22"/>
        </w:rPr>
        <w:lastRenderedPageBreak/>
        <w:t>“SOP_MRM mass spectrometry TSQ Vantage CPTAC Assays v1_1-HuiZhang lab.”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 Inject 2 </w:t>
      </w:r>
      <w:r w:rsidR="00520EBB" w:rsidRPr="006879A0">
        <w:rPr>
          <w:rFonts w:ascii="Calibri" w:eastAsia="Times New Roman" w:hAnsi="Calibri" w:cs="Times New Roman"/>
          <w:sz w:val="22"/>
          <w:szCs w:val="22"/>
        </w:rPr>
        <w:t>µL</w:t>
      </w:r>
      <w:r w:rsidR="00520EBB">
        <w:rPr>
          <w:rFonts w:ascii="Calibri" w:eastAsia="Times New Roman" w:hAnsi="Calibri" w:cs="Times New Roman"/>
          <w:sz w:val="22"/>
          <w:szCs w:val="22"/>
        </w:rPr>
        <w:t xml:space="preserve"> of sample for each MS run.</w:t>
      </w:r>
    </w:p>
    <w:p w:rsidR="006879A0" w:rsidRPr="006879A0" w:rsidRDefault="006879A0" w:rsidP="006879A0">
      <w:pPr>
        <w:spacing w:after="200" w:line="276" w:lineRule="auto"/>
        <w:ind w:left="1440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Run order</w:t>
      </w:r>
    </w:p>
    <w:p w:rsidR="006879A0" w:rsidRPr="006879A0" w:rsidRDefault="006879A0" w:rsidP="006879A0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To avoid artificially minimizing variability, the run order of the samples should be randomized. To minimize carryover, 1 wash is inserted after each “High” sample.</w:t>
      </w:r>
    </w:p>
    <w:p w:rsidR="006879A0" w:rsidRPr="006879A0" w:rsidRDefault="006879A0" w:rsidP="006879A0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6879A0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Referenced Documents</w:t>
      </w:r>
    </w:p>
    <w:p w:rsidR="006879A0" w:rsidRPr="006879A0" w:rsidRDefault="006879A0" w:rsidP="006879A0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SOP_Liquid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Chromatography CPTAC MRM TSQ Vantage Assays v1_1-HuiZhang lab</w:t>
      </w:r>
    </w:p>
    <w:p w:rsidR="006879A0" w:rsidRDefault="006879A0" w:rsidP="006879A0">
      <w:pPr>
        <w:numPr>
          <w:ilvl w:val="0"/>
          <w:numId w:val="5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>SOP_MRM mass spectrometry TSQ Vantage CPTAC Assays v1_1-HuiZhang lab</w:t>
      </w:r>
    </w:p>
    <w:p w:rsidR="00C97024" w:rsidRPr="006879A0" w:rsidRDefault="00C97024" w:rsidP="00C97024">
      <w:p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</w:p>
    <w:p w:rsidR="006879A0" w:rsidRPr="006879A0" w:rsidRDefault="006879A0" w:rsidP="006879A0">
      <w:pPr>
        <w:spacing w:after="200" w:line="276" w:lineRule="auto"/>
        <w:ind w:left="540" w:hanging="180"/>
        <w:rPr>
          <w:rFonts w:ascii="Calibri" w:eastAsia="Times New Roman" w:hAnsi="Calibri" w:cs="Times New Roman"/>
          <w:sz w:val="22"/>
          <w:szCs w:val="22"/>
        </w:rPr>
      </w:pPr>
      <w:r w:rsidRPr="006879A0">
        <w:rPr>
          <w:rFonts w:ascii="Calibri" w:eastAsia="Times New Roman" w:hAnsi="Calibri" w:cs="Times New Roman"/>
          <w:sz w:val="22"/>
          <w:szCs w:val="22"/>
        </w:rPr>
        <w:t xml:space="preserve">1. Hoofnagle AN,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Whiteaker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JR,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Carr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SA, Kuhn E, Liu T,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Massoni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SA, Thomas SN, Townsend RR, Zimmerman LJ,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Boja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E, Chen 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Crimmins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DL, Davies SR, Gao Y,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Hiltke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TR, Ketchum KA,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Kinsinger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CR,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Mesri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M, Meyer MR, Qian WJ,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Schoenherr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RM, Scott MG, Shi T,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Whiteley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GR,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Wrobel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JA, Wu C, Ackermann BL,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Aebersold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R, Barnidge DR, Bunk DM, Clarke N, Fishman JB, Grant RP,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Kusebauch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U,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Kushnir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MM,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Lowenthal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MS, Moritz RL,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Neubert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H, Patterson SD, Rockwood AL, Rogers J, Singh RJ, Van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Eyk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JE, Wong SH, Zhang S, Chan DW, Chen X, Ellis MJ,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Liebler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DC,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Rodland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KD, Rodriguez H, Smith RD, Zhang Z, Zhang H,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Paulovich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AG. Recommendations for the Generation, Quantification, Storage, and Handling of Peptides Used for Mass Spectrometry-Based Assays. </w:t>
      </w:r>
      <w:proofErr w:type="spellStart"/>
      <w:r w:rsidRPr="006879A0">
        <w:rPr>
          <w:rFonts w:ascii="Calibri" w:eastAsia="Times New Roman" w:hAnsi="Calibri" w:cs="Times New Roman"/>
          <w:sz w:val="22"/>
          <w:szCs w:val="22"/>
        </w:rPr>
        <w:t>Clin</w:t>
      </w:r>
      <w:proofErr w:type="spellEnd"/>
      <w:r w:rsidRPr="006879A0">
        <w:rPr>
          <w:rFonts w:ascii="Calibri" w:eastAsia="Times New Roman" w:hAnsi="Calibri" w:cs="Times New Roman"/>
          <w:sz w:val="22"/>
          <w:szCs w:val="22"/>
        </w:rPr>
        <w:t xml:space="preserve"> Chem. 2016 Jan</w:t>
      </w:r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;62</w:t>
      </w:r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 xml:space="preserve">(1):48-69. </w:t>
      </w:r>
      <w:proofErr w:type="spellStart"/>
      <w:proofErr w:type="gramStart"/>
      <w:r w:rsidRPr="006879A0">
        <w:rPr>
          <w:rFonts w:ascii="Calibri" w:eastAsia="Times New Roman" w:hAnsi="Calibri" w:cs="Times New Roman"/>
          <w:sz w:val="22"/>
          <w:szCs w:val="22"/>
        </w:rPr>
        <w:t>doi</w:t>
      </w:r>
      <w:proofErr w:type="spellEnd"/>
      <w:proofErr w:type="gramEnd"/>
      <w:r w:rsidRPr="006879A0">
        <w:rPr>
          <w:rFonts w:ascii="Calibri" w:eastAsia="Times New Roman" w:hAnsi="Calibri" w:cs="Times New Roman"/>
          <w:sz w:val="22"/>
          <w:szCs w:val="22"/>
        </w:rPr>
        <w:t>: 10.1373/clinchem.2015.250563. PubMed PMID: 26719571.</w:t>
      </w:r>
    </w:p>
    <w:p w:rsidR="006879A0" w:rsidRPr="006879A0" w:rsidRDefault="006879A0" w:rsidP="006879A0">
      <w:pPr>
        <w:spacing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6879A0" w:rsidRDefault="00DF5811" w:rsidP="006879A0"/>
    <w:sectPr w:rsidR="00DF5811" w:rsidRPr="006879A0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BEB" w:rsidRDefault="00105BEB" w:rsidP="00161086">
      <w:r>
        <w:separator/>
      </w:r>
    </w:p>
  </w:endnote>
  <w:endnote w:type="continuationSeparator" w:id="0">
    <w:p w:rsidR="00105BEB" w:rsidRDefault="00105BEB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a5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PAGE </w:instrText>
    </w:r>
    <w:r w:rsidRPr="00E258E9">
      <w:rPr>
        <w:rStyle w:val="a9"/>
        <w:rFonts w:ascii="Arial" w:hAnsi="Arial" w:cs="Arial"/>
        <w:b/>
      </w:rPr>
      <w:fldChar w:fldCharType="separate"/>
    </w:r>
    <w:r w:rsidR="00D0325B">
      <w:rPr>
        <w:rStyle w:val="a9"/>
        <w:rFonts w:ascii="Arial" w:hAnsi="Arial" w:cs="Arial"/>
        <w:b/>
        <w:noProof/>
      </w:rPr>
      <w:t>4</w:t>
    </w:r>
    <w:r w:rsidRPr="00E258E9">
      <w:rPr>
        <w:rStyle w:val="a9"/>
        <w:rFonts w:ascii="Arial" w:hAnsi="Arial" w:cs="Arial"/>
        <w:b/>
      </w:rPr>
      <w:fldChar w:fldCharType="end"/>
    </w:r>
    <w:r w:rsidRPr="00E258E9">
      <w:rPr>
        <w:rStyle w:val="a9"/>
        <w:rFonts w:ascii="Arial" w:hAnsi="Arial" w:cs="Arial"/>
        <w:b/>
      </w:rPr>
      <w:t xml:space="preserve"> of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NUMPAGES </w:instrText>
    </w:r>
    <w:r w:rsidRPr="00E258E9">
      <w:rPr>
        <w:rStyle w:val="a9"/>
        <w:rFonts w:ascii="Arial" w:hAnsi="Arial" w:cs="Arial"/>
        <w:b/>
      </w:rPr>
      <w:fldChar w:fldCharType="separate"/>
    </w:r>
    <w:r w:rsidR="00D0325B">
      <w:rPr>
        <w:rStyle w:val="a9"/>
        <w:rFonts w:ascii="Arial" w:hAnsi="Arial" w:cs="Arial"/>
        <w:b/>
        <w:noProof/>
      </w:rPr>
      <w:t>4</w:t>
    </w:r>
    <w:r w:rsidRPr="00E258E9">
      <w:rPr>
        <w:rStyle w:val="a9"/>
        <w:rFonts w:ascii="Arial" w:hAnsi="Arial" w:cs="Arial"/>
        <w:b/>
      </w:rPr>
      <w:fldChar w:fldCharType="end"/>
    </w:r>
  </w:p>
  <w:p w:rsidR="00161086" w:rsidRDefault="00161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BEB" w:rsidRDefault="00105BEB" w:rsidP="00161086">
      <w:r>
        <w:separator/>
      </w:r>
    </w:p>
  </w:footnote>
  <w:footnote w:type="continuationSeparator" w:id="0">
    <w:p w:rsidR="00105BEB" w:rsidRDefault="00105BEB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05B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05B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105BEB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A1B82"/>
    <w:multiLevelType w:val="hybridMultilevel"/>
    <w:tmpl w:val="911A3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07304D"/>
    <w:rsid w:val="00101457"/>
    <w:rsid w:val="00105BEB"/>
    <w:rsid w:val="00161086"/>
    <w:rsid w:val="002A0338"/>
    <w:rsid w:val="00336541"/>
    <w:rsid w:val="0035745F"/>
    <w:rsid w:val="003E76EB"/>
    <w:rsid w:val="00520EBB"/>
    <w:rsid w:val="0054197C"/>
    <w:rsid w:val="006879A0"/>
    <w:rsid w:val="00773ECF"/>
    <w:rsid w:val="007A33D9"/>
    <w:rsid w:val="009015C4"/>
    <w:rsid w:val="00A3500E"/>
    <w:rsid w:val="00AB3A4B"/>
    <w:rsid w:val="00B57015"/>
    <w:rsid w:val="00BA6FCE"/>
    <w:rsid w:val="00C97024"/>
    <w:rsid w:val="00D0325B"/>
    <w:rsid w:val="00D50A40"/>
    <w:rsid w:val="00D83774"/>
    <w:rsid w:val="00DD36E7"/>
    <w:rsid w:val="00DF5811"/>
    <w:rsid w:val="00F13C41"/>
    <w:rsid w:val="00F94E7D"/>
    <w:rsid w:val="00FC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70B69CB5-A640-4B09-9E40-40B51FF2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a4">
    <w:name w:val="header"/>
    <w:basedOn w:val="a"/>
    <w:link w:val="Char0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0">
    <w:name w:val="머리글 Char"/>
    <w:basedOn w:val="a0"/>
    <w:link w:val="a4"/>
    <w:uiPriority w:val="99"/>
    <w:rsid w:val="00161086"/>
  </w:style>
  <w:style w:type="paragraph" w:styleId="a5">
    <w:name w:val="footer"/>
    <w:basedOn w:val="a"/>
    <w:link w:val="Char1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1">
    <w:name w:val="바닥글 Char"/>
    <w:basedOn w:val="a0"/>
    <w:link w:val="a5"/>
    <w:uiPriority w:val="99"/>
    <w:rsid w:val="00161086"/>
  </w:style>
  <w:style w:type="character" w:customStyle="1" w:styleId="1Char">
    <w:name w:val="제목 1 Char"/>
    <w:basedOn w:val="a0"/>
    <w:link w:val="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7">
    <w:name w:val="Title"/>
    <w:basedOn w:val="a"/>
    <w:next w:val="a"/>
    <w:link w:val="Char2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제목 Char"/>
    <w:basedOn w:val="a0"/>
    <w:link w:val="a7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AB3A4B"/>
    <w:rPr>
      <w:b/>
      <w:bCs/>
    </w:rPr>
  </w:style>
  <w:style w:type="character" w:styleId="a9">
    <w:name w:val="page number"/>
    <w:basedOn w:val="a0"/>
    <w:rsid w:val="00AB3A4B"/>
  </w:style>
  <w:style w:type="table" w:styleId="3">
    <w:name w:val="Table Classic 3"/>
    <w:basedOn w:val="a1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5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NCI</Company>
  <LinksUpToDate>false</LinksUpToDate>
  <CharactersWithSpaces>6690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Chuanzi OuYang</dc:creator>
  <cp:lastModifiedBy>KyungCho Cho</cp:lastModifiedBy>
  <cp:revision>3</cp:revision>
  <dcterms:created xsi:type="dcterms:W3CDTF">2017-04-28T14:17:00Z</dcterms:created>
  <dcterms:modified xsi:type="dcterms:W3CDTF">2017-05-01T20:50:00Z</dcterms:modified>
</cp:coreProperties>
</file>