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B05FC" w:rsidRPr="005B05FC" w14:paraId="76712804" w14:textId="77777777" w:rsidTr="005A7861">
        <w:tc>
          <w:tcPr>
            <w:tcW w:w="8856" w:type="dxa"/>
          </w:tcPr>
          <w:p w14:paraId="1839A4BA" w14:textId="77777777" w:rsidR="005B05FC" w:rsidRPr="005B05FC" w:rsidRDefault="005B05FC" w:rsidP="005B05FC">
            <w:pPr>
              <w:pBdr>
                <w:bottom w:val="single" w:sz="8" w:space="4" w:color="4F81BD"/>
              </w:pBdr>
              <w:spacing w:after="300"/>
              <w:contextualSpacing/>
              <w:jc w:val="center"/>
              <w:rPr>
                <w:rFonts w:ascii="Cambria" w:eastAsia="Times New Roman" w:hAnsi="Cambria" w:cs="Arial"/>
                <w:color w:val="17365D"/>
                <w:spacing w:val="5"/>
                <w:kern w:val="28"/>
                <w:sz w:val="52"/>
                <w:szCs w:val="52"/>
              </w:rPr>
            </w:pPr>
            <w:r w:rsidRPr="005B05FC">
              <w:rPr>
                <w:rFonts w:ascii="Cambria" w:eastAsia="Times New Roman" w:hAnsi="Cambria" w:cs="Arial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5B05FC" w:rsidRPr="005B05FC" w14:paraId="0E115073" w14:textId="77777777" w:rsidTr="005A7861">
        <w:trPr>
          <w:trHeight w:val="1349"/>
        </w:trPr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15"/>
              <w:gridCol w:w="4199"/>
            </w:tblGrid>
            <w:tr w:rsidR="005B05FC" w:rsidRPr="005B05FC" w14:paraId="560771F3" w14:textId="77777777" w:rsidTr="005A7861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14:paraId="6E192759" w14:textId="77777777"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w:r w:rsidRPr="005B05FC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  <w:t>Title:  Prepar</w:t>
                  </w:r>
                  <w:r w:rsidR="007C52E7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  <w:t>ation of clinical serum samples</w:t>
                  </w:r>
                  <w:r w:rsidRPr="005B05FC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  <w:t xml:space="preserve"> as background matrix for targeted mass spectrometry analysis</w:t>
                  </w:r>
                </w:p>
              </w:tc>
            </w:tr>
            <w:tr w:rsidR="005B05FC" w:rsidRPr="005B05FC" w14:paraId="51B60B24" w14:textId="77777777" w:rsidTr="005A7861">
              <w:trPr>
                <w:trHeight w:val="513"/>
              </w:trPr>
              <w:tc>
                <w:tcPr>
                  <w:tcW w:w="4326" w:type="dxa"/>
                </w:tcPr>
                <w:p w14:paraId="76AB516A" w14:textId="77777777" w:rsidR="005B05FC" w:rsidRPr="005B05FC" w:rsidRDefault="007C52E7" w:rsidP="005B05FC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</w:t>
                  </w:r>
                  <w:r w:rsidR="003D5DC3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314" w:type="dxa"/>
                </w:tcPr>
                <w:p w14:paraId="255F3D0E" w14:textId="77777777"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5B05FC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5B05FC" w:rsidRPr="005B05FC" w14:paraId="721DC1CE" w14:textId="77777777" w:rsidTr="005A7861">
              <w:trPr>
                <w:trHeight w:val="495"/>
              </w:trPr>
              <w:tc>
                <w:tcPr>
                  <w:tcW w:w="4326" w:type="dxa"/>
                </w:tcPr>
                <w:p w14:paraId="4FD641BD" w14:textId="77777777" w:rsidR="005B05FC" w:rsidRPr="005B05FC" w:rsidRDefault="007C52E7" w:rsidP="005B05FC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>Date: 04/05/2017</w:t>
                  </w:r>
                </w:p>
              </w:tc>
              <w:tc>
                <w:tcPr>
                  <w:tcW w:w="4314" w:type="dxa"/>
                </w:tcPr>
                <w:p w14:paraId="69A4CB72" w14:textId="77777777" w:rsidR="005B05FC" w:rsidRPr="005B05FC" w:rsidRDefault="005B05FC" w:rsidP="005B05FC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A10387" w14:textId="77777777" w:rsidR="005B05FC" w:rsidRPr="005B05FC" w:rsidRDefault="005B05FC" w:rsidP="005B05FC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22"/>
              </w:rPr>
            </w:pPr>
          </w:p>
        </w:tc>
      </w:tr>
    </w:tbl>
    <w:p w14:paraId="49480FBD" w14:textId="77777777" w:rsidR="005B05FC" w:rsidRPr="005B05FC" w:rsidRDefault="005B05FC" w:rsidP="005B05FC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14:paraId="6C9095D5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Purpose</w:t>
      </w:r>
    </w:p>
    <w:p w14:paraId="01D0F3DC" w14:textId="77777777" w:rsidR="005B05FC" w:rsidRPr="005B05FC" w:rsidRDefault="005B05FC" w:rsidP="005B05FC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 xml:space="preserve">The purpose of this document is to describe the </w:t>
      </w:r>
      <w:r w:rsidR="007C52E7">
        <w:rPr>
          <w:rFonts w:ascii="Calibri" w:eastAsia="Times New Roman" w:hAnsi="Calibri" w:cs="Arial"/>
          <w:sz w:val="22"/>
          <w:szCs w:val="22"/>
        </w:rPr>
        <w:t xml:space="preserve">enzymatic digestion </w:t>
      </w:r>
      <w:r w:rsidRPr="005B05FC">
        <w:rPr>
          <w:rFonts w:ascii="Calibri" w:eastAsia="Times New Roman" w:hAnsi="Calibri" w:cs="Arial"/>
          <w:sz w:val="22"/>
          <w:szCs w:val="22"/>
        </w:rPr>
        <w:t>method</w:t>
      </w:r>
      <w:r w:rsidR="007C52E7">
        <w:rPr>
          <w:rFonts w:ascii="Calibri" w:eastAsia="Times New Roman" w:hAnsi="Calibri" w:cs="Arial"/>
          <w:sz w:val="22"/>
          <w:szCs w:val="22"/>
        </w:rPr>
        <w:t xml:space="preserve"> of serum </w:t>
      </w:r>
      <w:r w:rsidRPr="005B05FC">
        <w:rPr>
          <w:rFonts w:ascii="Calibri" w:eastAsia="Times New Roman" w:hAnsi="Calibri" w:cs="Arial"/>
          <w:sz w:val="22"/>
          <w:szCs w:val="22"/>
        </w:rPr>
        <w:t>for th</w:t>
      </w:r>
      <w:r w:rsidR="007C52E7">
        <w:rPr>
          <w:rFonts w:ascii="Calibri" w:eastAsia="Times New Roman" w:hAnsi="Calibri" w:cs="Arial"/>
          <w:sz w:val="22"/>
          <w:szCs w:val="22"/>
        </w:rPr>
        <w:t>e preparation of clinical serum</w:t>
      </w:r>
      <w:r w:rsidRPr="005B05FC">
        <w:rPr>
          <w:rFonts w:ascii="Calibri" w:eastAsia="Times New Roman" w:hAnsi="Calibri" w:cs="Arial"/>
          <w:sz w:val="22"/>
          <w:szCs w:val="22"/>
        </w:rPr>
        <w:t xml:space="preserve"> samples that will be used as the background matrix for targeted mass spectrometry-based analytical methods.</w:t>
      </w:r>
    </w:p>
    <w:p w14:paraId="4827EC8E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Scope</w:t>
      </w:r>
    </w:p>
    <w:p w14:paraId="3EAACED1" w14:textId="77777777" w:rsidR="005B05FC" w:rsidRPr="005B05FC" w:rsidRDefault="005B05FC" w:rsidP="005B05FC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This document describes the detailed p</w:t>
      </w:r>
      <w:r w:rsidR="007C52E7">
        <w:rPr>
          <w:rFonts w:ascii="Calibri" w:eastAsia="Times New Roman" w:hAnsi="Calibri" w:cs="Arial"/>
          <w:sz w:val="22"/>
          <w:szCs w:val="22"/>
        </w:rPr>
        <w:t xml:space="preserve">rocedures for </w:t>
      </w:r>
      <w:r w:rsidR="00825657">
        <w:rPr>
          <w:rFonts w:ascii="Calibri" w:eastAsia="Times New Roman" w:hAnsi="Calibri" w:cs="Arial"/>
          <w:sz w:val="22"/>
          <w:szCs w:val="22"/>
        </w:rPr>
        <w:t>reduction</w:t>
      </w:r>
      <w:r w:rsidRPr="005B05FC">
        <w:rPr>
          <w:rFonts w:ascii="Calibri" w:eastAsia="Times New Roman" w:hAnsi="Calibri" w:cs="Arial"/>
          <w:sz w:val="22"/>
          <w:szCs w:val="22"/>
        </w:rPr>
        <w:t xml:space="preserve">, </w:t>
      </w:r>
      <w:r w:rsidR="007C52E7">
        <w:rPr>
          <w:rFonts w:ascii="Calibri" w:eastAsia="Times New Roman" w:hAnsi="Calibri" w:cs="Arial"/>
          <w:sz w:val="22"/>
          <w:szCs w:val="22"/>
        </w:rPr>
        <w:t xml:space="preserve">alkylation, </w:t>
      </w:r>
      <w:r w:rsidR="00825657">
        <w:rPr>
          <w:rFonts w:ascii="Calibri" w:eastAsia="Times New Roman" w:hAnsi="Calibri" w:cs="Arial"/>
          <w:sz w:val="22"/>
          <w:szCs w:val="22"/>
        </w:rPr>
        <w:t>proteolysis</w:t>
      </w:r>
      <w:r w:rsidR="007C52E7">
        <w:rPr>
          <w:rFonts w:ascii="Calibri" w:eastAsia="Times New Roman" w:hAnsi="Calibri" w:cs="Arial"/>
          <w:sz w:val="22"/>
          <w:szCs w:val="22"/>
        </w:rPr>
        <w:t>, and p</w:t>
      </w:r>
      <w:r w:rsidRPr="005B05FC">
        <w:rPr>
          <w:rFonts w:ascii="Calibri" w:eastAsia="Times New Roman" w:hAnsi="Calibri" w:cs="Arial"/>
          <w:sz w:val="22"/>
          <w:szCs w:val="22"/>
        </w:rPr>
        <w:t>eptide desalting.</w:t>
      </w:r>
    </w:p>
    <w:p w14:paraId="39CD007E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Responsibilities</w:t>
      </w:r>
    </w:p>
    <w:p w14:paraId="0898B014" w14:textId="77777777" w:rsidR="005B05FC" w:rsidRPr="005B05FC" w:rsidRDefault="005B05FC" w:rsidP="005B05FC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14:paraId="64A79B9F" w14:textId="77777777" w:rsidR="005B05FC" w:rsidRPr="00364CB5" w:rsidRDefault="005B05FC" w:rsidP="00364CB5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Equipment</w:t>
      </w:r>
    </w:p>
    <w:p w14:paraId="0D0A10FC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Temperature-controlled shaking incubator</w:t>
      </w:r>
    </w:p>
    <w:p w14:paraId="563A4E71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Speed-</w:t>
      </w: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Vac</w:t>
      </w:r>
      <w:proofErr w:type="spellEnd"/>
    </w:p>
    <w:p w14:paraId="15E0160D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Lab rotator</w:t>
      </w:r>
    </w:p>
    <w:p w14:paraId="50BAB1C2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NanoDrop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spectrophotometer</w:t>
      </w:r>
    </w:p>
    <w:p w14:paraId="254252CB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Materials</w:t>
      </w:r>
    </w:p>
    <w:p w14:paraId="7C6EFE20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1 g 6 cc C18 SPE cartridges (Waters)</w:t>
      </w:r>
    </w:p>
    <w:p w14:paraId="4917FD4C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lastRenderedPageBreak/>
        <w:t>Reagents</w:t>
      </w:r>
    </w:p>
    <w:p w14:paraId="385D2733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Deionized water</w:t>
      </w:r>
    </w:p>
    <w:p w14:paraId="68B59A27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 xml:space="preserve">Urea – Ultra Pure (Thermo Fisher Scientific) </w:t>
      </w:r>
    </w:p>
    <w:p w14:paraId="19E7C713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TCEP (Thermo Fisher Scientific)</w:t>
      </w:r>
    </w:p>
    <w:p w14:paraId="6BCCF5DF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Iodoacetamide (Sigma-Aldrich)</w:t>
      </w:r>
    </w:p>
    <w:p w14:paraId="31016147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Optima LC/MS-grade water (Thermo Fisher Scientific)</w:t>
      </w:r>
    </w:p>
    <w:p w14:paraId="1CFD9E9C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Bicinchoninic acid (BCA) protein assay kit (Thermo Fisher Scientific)</w:t>
      </w:r>
    </w:p>
    <w:p w14:paraId="48BA9AE4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Sequencing-grade modified trypsin (Promega)</w:t>
      </w:r>
    </w:p>
    <w:p w14:paraId="39D4FCF6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proofErr w:type="spellStart"/>
      <w:r w:rsidRPr="005B05FC">
        <w:rPr>
          <w:rFonts w:ascii="Calibri" w:eastAsia="Times New Roman" w:hAnsi="Calibri" w:cs="Arial"/>
          <w:sz w:val="22"/>
          <w:szCs w:val="22"/>
        </w:rPr>
        <w:t>Trifluoroacetic</w:t>
      </w:r>
      <w:proofErr w:type="spellEnd"/>
      <w:r w:rsidRPr="005B05FC">
        <w:rPr>
          <w:rFonts w:ascii="Calibri" w:eastAsia="Times New Roman" w:hAnsi="Calibri" w:cs="Arial"/>
          <w:sz w:val="22"/>
          <w:szCs w:val="22"/>
        </w:rPr>
        <w:t xml:space="preserve"> acid (Sigma-Aldrich)</w:t>
      </w:r>
    </w:p>
    <w:p w14:paraId="3AF944EE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Ammonium bicarbonate (Sigma-Aldrich)</w:t>
      </w:r>
    </w:p>
    <w:p w14:paraId="07D636F4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Formic acid (Sigma-Aldrich)</w:t>
      </w:r>
    </w:p>
    <w:p w14:paraId="4006F5F9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LC/MS-grade water (Thermo Fisher Scientific)</w:t>
      </w:r>
    </w:p>
    <w:p w14:paraId="6617284C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LC/MS-grade acetonitrile (Thermo Fisher Scientific)</w:t>
      </w:r>
    </w:p>
    <w:p w14:paraId="2171D975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Solutions</w:t>
      </w:r>
    </w:p>
    <w:p w14:paraId="27B01BEC" w14:textId="77777777" w:rsidR="005B05FC" w:rsidRPr="005B05FC" w:rsidRDefault="00637B1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Lysis buffer: 8 M urea, 1</w:t>
      </w:r>
      <w:r w:rsidR="005B05FC" w:rsidRPr="005B05FC">
        <w:rPr>
          <w:rFonts w:ascii="Calibri" w:eastAsia="Times New Roman" w:hAnsi="Calibri" w:cs="Arial"/>
          <w:sz w:val="22"/>
          <w:szCs w:val="22"/>
        </w:rPr>
        <w:t xml:space="preserve"> M </w:t>
      </w:r>
      <w:r w:rsidR="005B05FC" w:rsidRPr="005B05FC">
        <w:rPr>
          <w:rFonts w:ascii="Calibri" w:eastAsia="Times New Roman" w:hAnsi="Calibri" w:cs="Arial"/>
          <w:sz w:val="22"/>
          <w:szCs w:val="22"/>
          <w:lang w:eastAsia="zh-CN"/>
        </w:rPr>
        <w:t>NH</w:t>
      </w:r>
      <w:r w:rsidR="005B05FC" w:rsidRPr="005B05FC">
        <w:rPr>
          <w:rFonts w:ascii="Calibri" w:eastAsia="Times New Roman" w:hAnsi="Calibri" w:cs="Arial"/>
          <w:sz w:val="22"/>
          <w:szCs w:val="22"/>
          <w:vertAlign w:val="subscript"/>
          <w:lang w:eastAsia="zh-CN"/>
        </w:rPr>
        <w:t>4</w:t>
      </w:r>
      <w:r w:rsidR="005B05FC" w:rsidRPr="005B05FC">
        <w:rPr>
          <w:rFonts w:ascii="Calibri" w:eastAsia="Times New Roman" w:hAnsi="Calibri" w:cs="Arial"/>
          <w:sz w:val="22"/>
          <w:szCs w:val="22"/>
          <w:lang w:eastAsia="zh-CN"/>
        </w:rPr>
        <w:t>HCO</w:t>
      </w:r>
      <w:r w:rsidR="005B05FC" w:rsidRPr="005B05FC">
        <w:rPr>
          <w:rFonts w:ascii="Calibri" w:eastAsia="Times New Roman" w:hAnsi="Calibri" w:cs="Arial"/>
          <w:sz w:val="22"/>
          <w:szCs w:val="22"/>
          <w:vertAlign w:val="subscript"/>
          <w:lang w:eastAsia="zh-CN"/>
        </w:rPr>
        <w:t>3</w:t>
      </w:r>
      <w:r w:rsidR="005B05FC" w:rsidRPr="005B05FC">
        <w:rPr>
          <w:rFonts w:ascii="Calibri" w:eastAsia="Times New Roman" w:hAnsi="Calibri" w:cs="Arial"/>
          <w:sz w:val="22"/>
          <w:szCs w:val="22"/>
          <w:lang w:eastAsia="zh-CN"/>
        </w:rPr>
        <w:t>, pH 8.0</w:t>
      </w:r>
    </w:p>
    <w:p w14:paraId="2A2BEBFA" w14:textId="77777777" w:rsidR="005B05FC" w:rsidRPr="005B05FC" w:rsidRDefault="007C52E7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500</w:t>
      </w:r>
      <w:r w:rsidR="005B05FC" w:rsidRPr="005B05FC">
        <w:rPr>
          <w:rFonts w:ascii="Calibri" w:eastAsia="Times New Roman" w:hAnsi="Calibri" w:cs="Arial"/>
          <w:sz w:val="22"/>
          <w:szCs w:val="22"/>
        </w:rPr>
        <w:t xml:space="preserve"> mM TCEP</w:t>
      </w:r>
    </w:p>
    <w:p w14:paraId="720894FB" w14:textId="77777777" w:rsidR="005B05FC" w:rsidRPr="005B05FC" w:rsidRDefault="00364CB5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300</w:t>
      </w:r>
      <w:r w:rsidR="005B05FC" w:rsidRPr="005B05FC">
        <w:rPr>
          <w:rFonts w:ascii="Calibri" w:eastAsia="Times New Roman" w:hAnsi="Calibri" w:cs="Arial"/>
          <w:sz w:val="22"/>
          <w:szCs w:val="22"/>
        </w:rPr>
        <w:t xml:space="preserve"> mM Iodoacetamide</w:t>
      </w:r>
    </w:p>
    <w:p w14:paraId="4E48661B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0.1 % TFA</w:t>
      </w:r>
    </w:p>
    <w:p w14:paraId="4A81FCA4" w14:textId="77777777" w:rsidR="005B05FC" w:rsidRP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50 % ACN/0.1 % TFA</w:t>
      </w:r>
    </w:p>
    <w:p w14:paraId="77C5E974" w14:textId="77777777" w:rsidR="005B05FC" w:rsidRDefault="005B05FC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60 % ACN/0.1 % TFA</w:t>
      </w:r>
    </w:p>
    <w:p w14:paraId="7E9A0B16" w14:textId="77777777" w:rsidR="00364CB5" w:rsidRPr="005B05FC" w:rsidRDefault="00364CB5" w:rsidP="005B05FC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Trypsin (0.5 </w:t>
      </w:r>
      <w:r w:rsidR="00E567AF">
        <w:rPr>
          <w:rFonts w:ascii="Calibri" w:eastAsia="Times New Roman" w:hAnsi="Calibri" w:cs="Arial"/>
          <w:sz w:val="22"/>
          <w:szCs w:val="22"/>
        </w:rPr>
        <w:t>µ</w:t>
      </w:r>
      <w:r>
        <w:rPr>
          <w:rFonts w:ascii="Calibri" w:eastAsia="Times New Roman" w:hAnsi="Calibri" w:cs="Arial"/>
          <w:sz w:val="22"/>
          <w:szCs w:val="22"/>
        </w:rPr>
        <w:t>g/</w:t>
      </w:r>
      <w:r w:rsidR="00E567AF">
        <w:rPr>
          <w:rFonts w:ascii="Calibri" w:eastAsia="Times New Roman" w:hAnsi="Calibri" w:cs="Arial"/>
          <w:sz w:val="22"/>
          <w:szCs w:val="22"/>
        </w:rPr>
        <w:t>µ</w:t>
      </w:r>
      <w:r>
        <w:rPr>
          <w:rFonts w:ascii="Calibri" w:eastAsia="Times New Roman" w:hAnsi="Calibri" w:cs="Arial"/>
          <w:sz w:val="22"/>
          <w:szCs w:val="22"/>
        </w:rPr>
        <w:t>L)</w:t>
      </w:r>
    </w:p>
    <w:p w14:paraId="76A8463F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Procedure</w:t>
      </w:r>
    </w:p>
    <w:p w14:paraId="309BD773" w14:textId="77777777" w:rsidR="005B05FC" w:rsidRPr="005B05FC" w:rsidRDefault="007C52E7" w:rsidP="005B05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</w:rPr>
        <w:t>Reduction with TCEP</w:t>
      </w:r>
    </w:p>
    <w:p w14:paraId="65A5144B" w14:textId="4091C417" w:rsidR="005B05FC" w:rsidRPr="005B05FC" w:rsidRDefault="00E567AF" w:rsidP="00637B1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Dilute s</w:t>
      </w:r>
      <w:r w:rsidR="00637B1C" w:rsidRPr="00637B1C">
        <w:rPr>
          <w:rFonts w:ascii="Calibri" w:eastAsia="Times New Roman" w:hAnsi="Calibri" w:cs="Arial"/>
          <w:sz w:val="22"/>
          <w:szCs w:val="22"/>
        </w:rPr>
        <w:t>erum</w:t>
      </w:r>
      <w:r w:rsidR="00224FA1">
        <w:rPr>
          <w:rFonts w:ascii="Calibri" w:eastAsia="Times New Roman" w:hAnsi="Calibri" w:cs="Arial"/>
          <w:sz w:val="22"/>
          <w:szCs w:val="22"/>
        </w:rPr>
        <w:t xml:space="preserve"> </w:t>
      </w:r>
      <w:r w:rsidR="00637B1C" w:rsidRPr="00637B1C">
        <w:rPr>
          <w:rFonts w:ascii="Calibri" w:eastAsia="Times New Roman" w:hAnsi="Calibri" w:cs="Arial"/>
          <w:sz w:val="22"/>
          <w:szCs w:val="22"/>
        </w:rPr>
        <w:t>samples</w:t>
      </w:r>
      <w:r w:rsidR="00637B1C">
        <w:rPr>
          <w:rFonts w:ascii="Calibri" w:eastAsia="Times New Roman" w:hAnsi="Calibri" w:cs="Arial"/>
          <w:sz w:val="22"/>
          <w:szCs w:val="22"/>
        </w:rPr>
        <w:t xml:space="preserve"> (~20 mg)</w:t>
      </w:r>
      <w:r w:rsidR="00224FA1">
        <w:rPr>
          <w:rFonts w:ascii="Calibri" w:eastAsia="Times New Roman" w:hAnsi="Calibri" w:cs="Arial"/>
          <w:sz w:val="22"/>
          <w:szCs w:val="22"/>
        </w:rPr>
        <w:t xml:space="preserve"> 1:10 with urea buffer (8M urea, 1M NH</w:t>
      </w:r>
      <w:r w:rsidR="00224FA1" w:rsidRPr="0005764D">
        <w:rPr>
          <w:rFonts w:ascii="Calibri" w:eastAsia="Times New Roman" w:hAnsi="Calibri" w:cs="Arial"/>
          <w:sz w:val="22"/>
          <w:szCs w:val="22"/>
          <w:vertAlign w:val="subscript"/>
        </w:rPr>
        <w:t>4</w:t>
      </w:r>
      <w:r w:rsidR="00224FA1">
        <w:rPr>
          <w:rFonts w:ascii="Calibri" w:eastAsia="Times New Roman" w:hAnsi="Calibri" w:cs="Arial"/>
          <w:sz w:val="22"/>
          <w:szCs w:val="22"/>
        </w:rPr>
        <w:t>HCO</w:t>
      </w:r>
      <w:r w:rsidR="00224FA1" w:rsidRPr="0005764D">
        <w:rPr>
          <w:rFonts w:ascii="Calibri" w:eastAsia="Times New Roman" w:hAnsi="Calibri" w:cs="Arial"/>
          <w:sz w:val="22"/>
          <w:szCs w:val="22"/>
          <w:vertAlign w:val="subscript"/>
        </w:rPr>
        <w:t>3</w:t>
      </w:r>
      <w:r w:rsidR="00224FA1">
        <w:rPr>
          <w:rFonts w:ascii="Calibri" w:eastAsia="Times New Roman" w:hAnsi="Calibri" w:cs="Arial"/>
          <w:sz w:val="22"/>
          <w:szCs w:val="22"/>
        </w:rPr>
        <w:t>, pH 8.0)</w:t>
      </w:r>
      <w:r w:rsidR="00637B1C" w:rsidRPr="00637B1C">
        <w:rPr>
          <w:rFonts w:ascii="Calibri" w:eastAsia="Times New Roman" w:hAnsi="Calibri" w:cs="Arial"/>
          <w:sz w:val="22"/>
          <w:szCs w:val="22"/>
        </w:rPr>
        <w:t xml:space="preserve"> before starting BCA assay</w:t>
      </w:r>
      <w:r w:rsidR="00637B1C">
        <w:rPr>
          <w:rFonts w:ascii="Calibri" w:eastAsia="Times New Roman" w:hAnsi="Calibri" w:cs="Arial"/>
          <w:sz w:val="22"/>
          <w:szCs w:val="22"/>
        </w:rPr>
        <w:t>.</w:t>
      </w:r>
    </w:p>
    <w:p w14:paraId="09085FF6" w14:textId="77777777" w:rsidR="005B05FC" w:rsidRPr="005B05FC" w:rsidRDefault="005B05F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5B05FC">
        <w:rPr>
          <w:rFonts w:ascii="Calibri" w:eastAsia="Times New Roman" w:hAnsi="Calibri" w:cs="Arial"/>
          <w:sz w:val="22"/>
          <w:szCs w:val="22"/>
        </w:rPr>
        <w:t>Measure the protein concentration using the BCA protein assay kit.</w:t>
      </w:r>
    </w:p>
    <w:p w14:paraId="21560443" w14:textId="77777777" w:rsidR="00637B1C" w:rsidRDefault="00637B1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Add TCEP to samples to reach 10 mM in solution (using 500 mM TCEP stock). </w:t>
      </w:r>
    </w:p>
    <w:p w14:paraId="7BEE3209" w14:textId="77777777" w:rsidR="005B05FC" w:rsidRDefault="00637B1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Incubate the sample at </w:t>
      </w:r>
      <w:r w:rsidR="005B05FC" w:rsidRPr="005B05FC">
        <w:rPr>
          <w:rFonts w:ascii="Calibri" w:eastAsia="Times New Roman" w:hAnsi="Calibri" w:cs="Arial"/>
          <w:sz w:val="22"/>
          <w:szCs w:val="22"/>
        </w:rPr>
        <w:t>37 °C for 1 h.</w:t>
      </w:r>
    </w:p>
    <w:p w14:paraId="7C029035" w14:textId="77777777" w:rsidR="00637B1C" w:rsidRPr="00364CB5" w:rsidRDefault="00637B1C" w:rsidP="00637B1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 w:rsidRPr="00364CB5">
        <w:rPr>
          <w:rFonts w:ascii="Calibri" w:eastAsia="Times New Roman" w:hAnsi="Calibri" w:cs="Arial"/>
          <w:b/>
          <w:sz w:val="22"/>
          <w:szCs w:val="22"/>
        </w:rPr>
        <w:t>Alkylation with Iodoacetamide (IAA)</w:t>
      </w:r>
    </w:p>
    <w:p w14:paraId="096334B9" w14:textId="77777777" w:rsidR="00637B1C" w:rsidRDefault="00637B1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Make 300 mM stock solution of IAA. (</w:t>
      </w:r>
      <w:r w:rsidR="00E567AF">
        <w:rPr>
          <w:rFonts w:ascii="Calibri" w:eastAsia="Times New Roman" w:hAnsi="Calibri" w:cs="Arial"/>
          <w:sz w:val="22"/>
          <w:szCs w:val="22"/>
        </w:rPr>
        <w:t xml:space="preserve">Prepare </w:t>
      </w:r>
      <w:r>
        <w:rPr>
          <w:rFonts w:ascii="Calibri" w:eastAsia="Times New Roman" w:hAnsi="Calibri" w:cs="Arial"/>
          <w:sz w:val="22"/>
          <w:szCs w:val="22"/>
        </w:rPr>
        <w:t xml:space="preserve">fresh). </w:t>
      </w:r>
    </w:p>
    <w:p w14:paraId="3DEA4D3D" w14:textId="77777777" w:rsidR="00637B1C" w:rsidRDefault="00637B1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Add 1/20 of the final volume of 300 mM IAA to samples (Final </w:t>
      </w:r>
      <w:r w:rsidR="00E567AF">
        <w:rPr>
          <w:rFonts w:ascii="Calibri" w:eastAsia="Times New Roman" w:hAnsi="Calibri" w:cs="Arial"/>
          <w:sz w:val="22"/>
          <w:szCs w:val="22"/>
        </w:rPr>
        <w:t xml:space="preserve">concentration </w:t>
      </w:r>
      <w:r>
        <w:rPr>
          <w:rFonts w:ascii="Calibri" w:eastAsia="Times New Roman" w:hAnsi="Calibri" w:cs="Arial"/>
          <w:sz w:val="22"/>
          <w:szCs w:val="22"/>
        </w:rPr>
        <w:t xml:space="preserve">~ 15 mM IAA) </w:t>
      </w:r>
    </w:p>
    <w:p w14:paraId="60A1E132" w14:textId="77777777" w:rsidR="00637B1C" w:rsidRDefault="00E567AF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Wrap completely</w:t>
      </w:r>
      <w:r w:rsidR="00637B1C">
        <w:rPr>
          <w:rFonts w:ascii="Calibri" w:eastAsia="Times New Roman" w:hAnsi="Calibri" w:cs="Arial"/>
          <w:sz w:val="22"/>
          <w:szCs w:val="22"/>
        </w:rPr>
        <w:t xml:space="preserve"> with foil (</w:t>
      </w:r>
      <w:r>
        <w:rPr>
          <w:rFonts w:ascii="Calibri" w:eastAsia="Times New Roman" w:hAnsi="Calibri" w:cs="Arial"/>
          <w:sz w:val="22"/>
          <w:szCs w:val="22"/>
        </w:rPr>
        <w:t xml:space="preserve">IAM is </w:t>
      </w:r>
      <w:r w:rsidR="00637B1C">
        <w:rPr>
          <w:rFonts w:ascii="Calibri" w:eastAsia="Times New Roman" w:hAnsi="Calibri" w:cs="Arial"/>
          <w:sz w:val="22"/>
          <w:szCs w:val="22"/>
        </w:rPr>
        <w:t xml:space="preserve">light sensitive), and incubate in a lab rotator for 30 min at room temperature. </w:t>
      </w:r>
    </w:p>
    <w:p w14:paraId="3D49124E" w14:textId="77777777" w:rsidR="00637B1C" w:rsidRPr="00364CB5" w:rsidRDefault="00E567AF" w:rsidP="00637B1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>
        <w:rPr>
          <w:rFonts w:ascii="Calibri" w:eastAsia="맑은 고딕" w:hAnsi="Calibri" w:cs="Arial"/>
          <w:b/>
          <w:sz w:val="22"/>
          <w:szCs w:val="22"/>
          <w:lang w:eastAsia="ko-KR"/>
        </w:rPr>
        <w:t>Proteolysis</w:t>
      </w:r>
      <w:r w:rsidR="00637B1C" w:rsidRPr="00364CB5">
        <w:rPr>
          <w:rFonts w:ascii="Calibri" w:eastAsia="맑은 고딕" w:hAnsi="Calibri" w:cs="Arial" w:hint="eastAsia"/>
          <w:b/>
          <w:sz w:val="22"/>
          <w:szCs w:val="22"/>
          <w:lang w:eastAsia="ko-KR"/>
        </w:rPr>
        <w:t xml:space="preserve"> (Trypsin digestion)</w:t>
      </w:r>
    </w:p>
    <w:p w14:paraId="37501DB1" w14:textId="77777777" w:rsidR="00637B1C" w:rsidRDefault="00637B1C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Dilute sample 6</w:t>
      </w:r>
      <w:r w:rsidR="00E567AF">
        <w:rPr>
          <w:rFonts w:ascii="Calibri" w:eastAsia="Times New Roman" w:hAnsi="Calibri" w:cs="Arial"/>
          <w:sz w:val="22"/>
          <w:szCs w:val="22"/>
        </w:rPr>
        <w:t>-</w:t>
      </w:r>
      <w:r>
        <w:rPr>
          <w:rFonts w:ascii="Calibri" w:eastAsia="Times New Roman" w:hAnsi="Calibri" w:cs="Arial"/>
          <w:sz w:val="22"/>
          <w:szCs w:val="22"/>
        </w:rPr>
        <w:t>fold by adding H</w:t>
      </w:r>
      <w:r w:rsidRPr="005B03E0">
        <w:rPr>
          <w:rFonts w:ascii="Calibri" w:eastAsia="Times New Roman" w:hAnsi="Calibri" w:cs="Arial"/>
          <w:sz w:val="22"/>
          <w:szCs w:val="22"/>
          <w:vertAlign w:val="subscript"/>
        </w:rPr>
        <w:t>2</w:t>
      </w:r>
      <w:r>
        <w:rPr>
          <w:rFonts w:ascii="Calibri" w:eastAsia="Times New Roman" w:hAnsi="Calibri" w:cs="Arial"/>
          <w:sz w:val="22"/>
          <w:szCs w:val="22"/>
        </w:rPr>
        <w:t>O (1.3 M final urea concentration and 166 mM NH</w:t>
      </w:r>
      <w:r w:rsidRPr="005B03E0">
        <w:rPr>
          <w:rFonts w:ascii="Calibri" w:eastAsia="Times New Roman" w:hAnsi="Calibri" w:cs="Arial"/>
          <w:sz w:val="22"/>
          <w:szCs w:val="22"/>
          <w:vertAlign w:val="subscript"/>
        </w:rPr>
        <w:t>4</w:t>
      </w:r>
      <w:r>
        <w:rPr>
          <w:rFonts w:ascii="Calibri" w:eastAsia="Times New Roman" w:hAnsi="Calibri" w:cs="Arial"/>
          <w:sz w:val="22"/>
          <w:szCs w:val="22"/>
        </w:rPr>
        <w:t>HCO</w:t>
      </w:r>
      <w:r w:rsidRPr="005B03E0">
        <w:rPr>
          <w:rFonts w:ascii="Calibri" w:eastAsia="Times New Roman" w:hAnsi="Calibri" w:cs="Arial"/>
          <w:sz w:val="22"/>
          <w:szCs w:val="22"/>
          <w:vertAlign w:val="subscript"/>
        </w:rPr>
        <w:t>3</w:t>
      </w:r>
      <w:r>
        <w:rPr>
          <w:rFonts w:ascii="Calibri" w:eastAsia="Times New Roman" w:hAnsi="Calibri" w:cs="Arial"/>
          <w:sz w:val="22"/>
          <w:szCs w:val="22"/>
        </w:rPr>
        <w:t xml:space="preserve">). </w:t>
      </w:r>
    </w:p>
    <w:p w14:paraId="178FE399" w14:textId="77777777" w:rsidR="00BA7076" w:rsidRDefault="00BA7076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Add trypsin (1 : 40 = trypsin : protein (w/w))</w:t>
      </w:r>
    </w:p>
    <w:p w14:paraId="061B2553" w14:textId="77777777" w:rsidR="005B05FC" w:rsidRPr="00BA7076" w:rsidRDefault="00BA7076" w:rsidP="00334C39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BA7076">
        <w:rPr>
          <w:rFonts w:ascii="Calibri" w:eastAsia="Times New Roman" w:hAnsi="Calibri" w:cs="Arial"/>
          <w:sz w:val="22"/>
          <w:szCs w:val="22"/>
        </w:rPr>
        <w:lastRenderedPageBreak/>
        <w:t xml:space="preserve">Incubate </w:t>
      </w:r>
      <w:r w:rsidR="005B05FC" w:rsidRPr="00BA7076">
        <w:rPr>
          <w:rFonts w:ascii="Calibri" w:eastAsia="Times New Roman" w:hAnsi="Calibri" w:cs="Arial"/>
          <w:sz w:val="22"/>
          <w:szCs w:val="22"/>
        </w:rPr>
        <w:t>1</w:t>
      </w:r>
      <w:r>
        <w:rPr>
          <w:rFonts w:ascii="Calibri" w:eastAsia="Times New Roman" w:hAnsi="Calibri" w:cs="Arial"/>
          <w:sz w:val="22"/>
          <w:szCs w:val="22"/>
        </w:rPr>
        <w:t>2 h at 37 °C with gentle</w:t>
      </w:r>
      <w:r w:rsidR="005B05FC" w:rsidRPr="00BA7076">
        <w:rPr>
          <w:rFonts w:ascii="Calibri" w:eastAsia="Times New Roman" w:hAnsi="Calibri" w:cs="Arial"/>
          <w:sz w:val="22"/>
          <w:szCs w:val="22"/>
        </w:rPr>
        <w:t xml:space="preserve"> shaking.</w:t>
      </w:r>
    </w:p>
    <w:p w14:paraId="5A73923B" w14:textId="77777777" w:rsidR="005B05FC" w:rsidRPr="005B05FC" w:rsidRDefault="005B05FC" w:rsidP="005B05F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 w:rsidRPr="005B05FC">
        <w:rPr>
          <w:rFonts w:ascii="Calibri" w:eastAsia="Times New Roman" w:hAnsi="Calibri" w:cs="Arial"/>
          <w:b/>
          <w:sz w:val="22"/>
          <w:szCs w:val="22"/>
        </w:rPr>
        <w:t>Peptide de-salting</w:t>
      </w:r>
    </w:p>
    <w:p w14:paraId="1EBDBA4D" w14:textId="77777777" w:rsidR="00BA7076" w:rsidRDefault="00BA7076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Adjust the pH of digested samples to </w:t>
      </w:r>
      <w:r w:rsidR="00E567AF">
        <w:rPr>
          <w:rFonts w:ascii="Calibri" w:eastAsia="Times New Roman" w:hAnsi="Calibri" w:cs="Arial"/>
          <w:sz w:val="22"/>
          <w:szCs w:val="22"/>
        </w:rPr>
        <w:t>&lt;</w:t>
      </w:r>
      <w:r>
        <w:rPr>
          <w:rFonts w:ascii="Calibri" w:eastAsia="Times New Roman" w:hAnsi="Calibri" w:cs="Arial"/>
          <w:sz w:val="22"/>
          <w:szCs w:val="22"/>
        </w:rPr>
        <w:t xml:space="preserve"> 3 with 50 % TFA. (The final concentration of TFA is </w:t>
      </w:r>
      <w:r w:rsidR="00E567AF">
        <w:rPr>
          <w:rFonts w:ascii="Calibri" w:eastAsia="Times New Roman" w:hAnsi="Calibri" w:cs="Arial"/>
          <w:sz w:val="22"/>
          <w:szCs w:val="22"/>
        </w:rPr>
        <w:t>~</w:t>
      </w:r>
      <w:r>
        <w:rPr>
          <w:rFonts w:ascii="Calibri" w:eastAsia="Times New Roman" w:hAnsi="Calibri" w:cs="Arial"/>
          <w:sz w:val="22"/>
          <w:szCs w:val="22"/>
        </w:rPr>
        <w:t xml:space="preserve">1.3 </w:t>
      </w:r>
      <w:r w:rsidR="00E567AF">
        <w:rPr>
          <w:rFonts w:ascii="Calibri" w:eastAsia="Times New Roman" w:hAnsi="Calibri" w:cs="Arial"/>
          <w:sz w:val="22"/>
          <w:szCs w:val="22"/>
        </w:rPr>
        <w:t>-</w:t>
      </w:r>
      <w:r>
        <w:rPr>
          <w:rFonts w:ascii="Calibri" w:eastAsia="Times New Roman" w:hAnsi="Calibri" w:cs="Arial"/>
          <w:sz w:val="22"/>
          <w:szCs w:val="22"/>
        </w:rPr>
        <w:t xml:space="preserve"> 1.5 %)</w:t>
      </w:r>
      <w:r w:rsidR="00E567AF">
        <w:rPr>
          <w:rFonts w:ascii="Calibri" w:eastAsia="Times New Roman" w:hAnsi="Calibri" w:cs="Arial"/>
          <w:sz w:val="22"/>
          <w:szCs w:val="22"/>
        </w:rPr>
        <w:t>.</w:t>
      </w:r>
    </w:p>
    <w:p w14:paraId="16B4D7D3" w14:textId="20B12FB5" w:rsidR="00721B42" w:rsidRPr="00721B42" w:rsidRDefault="00721B42" w:rsidP="00721B42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Cent</w:t>
      </w:r>
      <w:bookmarkStart w:id="0" w:name="_GoBack"/>
      <w:bookmarkEnd w:id="0"/>
      <w:r>
        <w:rPr>
          <w:rFonts w:ascii="Calibri" w:eastAsia="Times New Roman" w:hAnsi="Calibri" w:cs="Arial"/>
          <w:sz w:val="22"/>
          <w:szCs w:val="22"/>
        </w:rPr>
        <w:t xml:space="preserve">rifuge the digested samples under 3000 </w:t>
      </w:r>
      <w:r w:rsidRPr="00367FEF">
        <w:rPr>
          <w:rFonts w:ascii="Calibri" w:eastAsia="Times New Roman" w:hAnsi="Calibri" w:cs="Arial"/>
          <w:i/>
          <w:sz w:val="22"/>
          <w:szCs w:val="22"/>
        </w:rPr>
        <w:t>g</w:t>
      </w:r>
      <w:r>
        <w:rPr>
          <w:rFonts w:ascii="Calibri" w:eastAsia="Times New Roman" w:hAnsi="Calibri" w:cs="Arial"/>
          <w:sz w:val="22"/>
          <w:szCs w:val="22"/>
        </w:rPr>
        <w:t xml:space="preserve"> for 5 mins to pellet the non-digested material. Preserve the supernatant for de-salting.</w:t>
      </w:r>
    </w:p>
    <w:p w14:paraId="6FA0DFC8" w14:textId="77777777" w:rsidR="00BA7076" w:rsidRDefault="00BA7076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Condition the C18 column with 6 mL 80 % ACN/0.1 % TFA 3 times. </w:t>
      </w:r>
    </w:p>
    <w:p w14:paraId="09B5E443" w14:textId="77777777" w:rsidR="00BA7076" w:rsidRDefault="00BA7076" w:rsidP="005B05FC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Equilibrate the C18 column with 6 mL of 0.1 % TFA 2 times. </w:t>
      </w:r>
    </w:p>
    <w:p w14:paraId="22028155" w14:textId="77777777" w:rsidR="00BA7076" w:rsidRDefault="00BA7076" w:rsidP="00BA707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Load the sample onto the C18 column. </w:t>
      </w:r>
    </w:p>
    <w:p w14:paraId="55286D0C" w14:textId="77777777" w:rsidR="00BA7076" w:rsidRDefault="00BA7076" w:rsidP="00BA707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Collect the flow through, and reload the flow through.</w:t>
      </w:r>
    </w:p>
    <w:p w14:paraId="0AEC5707" w14:textId="77777777" w:rsidR="00BA7076" w:rsidRPr="005B05FC" w:rsidRDefault="00BA7076" w:rsidP="00BA707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Wash the column with 6 mL of 0.1 % TFA 3 times</w:t>
      </w:r>
    </w:p>
    <w:p w14:paraId="27D37013" w14:textId="77777777" w:rsidR="00364CB5" w:rsidRDefault="00364CB5" w:rsidP="00364CB5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Elute by 1 mL of 60 % ACN/0.1 % TFA 4 times. </w:t>
      </w:r>
    </w:p>
    <w:p w14:paraId="757F5C25" w14:textId="77777777" w:rsidR="00364CB5" w:rsidRDefault="00364CB5" w:rsidP="00364CB5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Determine the concentration by </w:t>
      </w:r>
      <w:proofErr w:type="spellStart"/>
      <w:r>
        <w:rPr>
          <w:rFonts w:ascii="Calibri" w:eastAsia="Times New Roman" w:hAnsi="Calibri" w:cs="Arial"/>
          <w:sz w:val="22"/>
          <w:szCs w:val="22"/>
        </w:rPr>
        <w:t>nanodrop</w:t>
      </w:r>
      <w:proofErr w:type="spellEnd"/>
      <w:r>
        <w:rPr>
          <w:rFonts w:ascii="Calibri" w:eastAsia="Times New Roman" w:hAnsi="Calibri" w:cs="Arial"/>
          <w:sz w:val="22"/>
          <w:szCs w:val="22"/>
        </w:rPr>
        <w:t xml:space="preserve">. </w:t>
      </w:r>
    </w:p>
    <w:p w14:paraId="31FEF014" w14:textId="77777777" w:rsidR="00364CB5" w:rsidRPr="005B05FC" w:rsidRDefault="00364CB5" w:rsidP="00364CB5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Dry in Speed-</w:t>
      </w:r>
      <w:proofErr w:type="spellStart"/>
      <w:r>
        <w:rPr>
          <w:rFonts w:ascii="Calibri" w:eastAsia="Times New Roman" w:hAnsi="Calibri" w:cs="Arial"/>
          <w:sz w:val="22"/>
          <w:szCs w:val="22"/>
        </w:rPr>
        <w:t>Vac</w:t>
      </w:r>
      <w:proofErr w:type="spellEnd"/>
    </w:p>
    <w:p w14:paraId="1C4CF3D4" w14:textId="77777777" w:rsidR="005B05FC" w:rsidRPr="005B05FC" w:rsidRDefault="005B05FC" w:rsidP="00364CB5">
      <w:pPr>
        <w:spacing w:after="200" w:line="276" w:lineRule="auto"/>
        <w:ind w:left="1440"/>
        <w:contextualSpacing/>
        <w:rPr>
          <w:rFonts w:ascii="Calibri" w:eastAsia="Times New Roman" w:hAnsi="Calibri" w:cs="Arial"/>
          <w:sz w:val="22"/>
          <w:szCs w:val="22"/>
        </w:rPr>
      </w:pPr>
    </w:p>
    <w:p w14:paraId="4F32C735" w14:textId="77777777" w:rsidR="005B05FC" w:rsidRPr="005B05FC" w:rsidRDefault="005B05FC" w:rsidP="005B05FC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5B05FC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Referenced Documents</w:t>
      </w:r>
    </w:p>
    <w:p w14:paraId="6A11291F" w14:textId="77777777" w:rsidR="005B05FC" w:rsidRPr="005B05FC" w:rsidRDefault="005B05FC" w:rsidP="005B05FC">
      <w:pPr>
        <w:ind w:left="270" w:hanging="270"/>
        <w:rPr>
          <w:rFonts w:ascii="Calibri" w:eastAsia="Calibri" w:hAnsi="Calibri" w:cs="Arial"/>
          <w:sz w:val="22"/>
          <w:szCs w:val="22"/>
        </w:rPr>
      </w:pPr>
      <w:r w:rsidRPr="005B05FC">
        <w:rPr>
          <w:rFonts w:ascii="Calibri" w:eastAsia="Calibri" w:hAnsi="Calibri" w:cs="Arial"/>
          <w:sz w:val="22"/>
          <w:szCs w:val="22"/>
        </w:rPr>
        <w:t xml:space="preserve">1.  Sun S, Zhou JY, Yang W, Zhang H. Inhibition of protein </w:t>
      </w:r>
      <w:proofErr w:type="spellStart"/>
      <w:r w:rsidRPr="005B05FC">
        <w:rPr>
          <w:rFonts w:ascii="Calibri" w:eastAsia="Calibri" w:hAnsi="Calibri" w:cs="Arial"/>
          <w:sz w:val="22"/>
          <w:szCs w:val="22"/>
        </w:rPr>
        <w:t>carbamylation</w:t>
      </w:r>
      <w:proofErr w:type="spellEnd"/>
      <w:r w:rsidRPr="005B05FC">
        <w:rPr>
          <w:rFonts w:ascii="Calibri" w:eastAsia="Calibri" w:hAnsi="Calibri" w:cs="Arial"/>
          <w:sz w:val="22"/>
          <w:szCs w:val="22"/>
        </w:rPr>
        <w:t xml:space="preserve"> in urea solution using ammonium-containing buffers. Anal </w:t>
      </w:r>
      <w:proofErr w:type="spellStart"/>
      <w:r w:rsidRPr="005B05FC">
        <w:rPr>
          <w:rFonts w:ascii="Calibri" w:eastAsia="Calibri" w:hAnsi="Calibri" w:cs="Arial"/>
          <w:sz w:val="22"/>
          <w:szCs w:val="22"/>
        </w:rPr>
        <w:t>Biochem</w:t>
      </w:r>
      <w:proofErr w:type="spellEnd"/>
      <w:r w:rsidRPr="005B05FC">
        <w:rPr>
          <w:rFonts w:ascii="Calibri" w:eastAsia="Calibri" w:hAnsi="Calibri" w:cs="Arial"/>
          <w:sz w:val="22"/>
          <w:szCs w:val="22"/>
        </w:rPr>
        <w:t>. 2014 Feb 1</w:t>
      </w:r>
      <w:proofErr w:type="gramStart"/>
      <w:r w:rsidRPr="005B05FC">
        <w:rPr>
          <w:rFonts w:ascii="Calibri" w:eastAsia="Calibri" w:hAnsi="Calibri" w:cs="Arial"/>
          <w:sz w:val="22"/>
          <w:szCs w:val="22"/>
        </w:rPr>
        <w:t>;446:76</w:t>
      </w:r>
      <w:proofErr w:type="gramEnd"/>
      <w:r w:rsidRPr="005B05FC">
        <w:rPr>
          <w:rFonts w:ascii="Calibri" w:eastAsia="Calibri" w:hAnsi="Calibri" w:cs="Arial"/>
          <w:sz w:val="22"/>
          <w:szCs w:val="22"/>
        </w:rPr>
        <w:t xml:space="preserve">-81. </w:t>
      </w:r>
      <w:proofErr w:type="spellStart"/>
      <w:proofErr w:type="gramStart"/>
      <w:r w:rsidRPr="005B05FC">
        <w:rPr>
          <w:rFonts w:ascii="Calibri" w:eastAsia="Calibri" w:hAnsi="Calibri" w:cs="Arial"/>
          <w:sz w:val="22"/>
          <w:szCs w:val="22"/>
        </w:rPr>
        <w:t>doi</w:t>
      </w:r>
      <w:proofErr w:type="spellEnd"/>
      <w:proofErr w:type="gramEnd"/>
      <w:r w:rsidRPr="005B05FC">
        <w:rPr>
          <w:rFonts w:ascii="Calibri" w:eastAsia="Calibri" w:hAnsi="Calibri" w:cs="Arial"/>
          <w:sz w:val="22"/>
          <w:szCs w:val="22"/>
        </w:rPr>
        <w:t xml:space="preserve">: 10.1016/j.ab.2013.10.024. </w:t>
      </w:r>
      <w:proofErr w:type="spellStart"/>
      <w:r w:rsidRPr="005B05FC">
        <w:rPr>
          <w:rFonts w:ascii="Calibri" w:eastAsia="Calibri" w:hAnsi="Calibri" w:cs="Arial"/>
          <w:sz w:val="22"/>
          <w:szCs w:val="22"/>
        </w:rPr>
        <w:t>Epub</w:t>
      </w:r>
      <w:proofErr w:type="spellEnd"/>
      <w:r w:rsidRPr="005B05FC">
        <w:rPr>
          <w:rFonts w:ascii="Calibri" w:eastAsia="Calibri" w:hAnsi="Calibri" w:cs="Arial"/>
          <w:sz w:val="22"/>
          <w:szCs w:val="22"/>
        </w:rPr>
        <w:t xml:space="preserve"> 2013 Oct 23. PubMed PMID: 24161613; PubMed Central PMCID: PMC4072244.</w:t>
      </w:r>
    </w:p>
    <w:p w14:paraId="2F63878B" w14:textId="77777777" w:rsidR="005B05FC" w:rsidRPr="005B05FC" w:rsidRDefault="005B05FC" w:rsidP="005B05FC">
      <w:pPr>
        <w:ind w:left="270" w:hanging="270"/>
        <w:rPr>
          <w:rFonts w:ascii="Arial" w:eastAsia="Calibri" w:hAnsi="Arial" w:cs="Arial"/>
          <w:sz w:val="22"/>
          <w:szCs w:val="22"/>
        </w:rPr>
      </w:pPr>
    </w:p>
    <w:p w14:paraId="1853ADF3" w14:textId="77777777" w:rsidR="005B05FC" w:rsidRPr="005B05FC" w:rsidRDefault="005B05FC" w:rsidP="005B05FC">
      <w:pPr>
        <w:ind w:left="270" w:hanging="270"/>
        <w:rPr>
          <w:rFonts w:ascii="Arial" w:eastAsia="Calibri" w:hAnsi="Arial" w:cs="Arial"/>
          <w:sz w:val="22"/>
          <w:szCs w:val="22"/>
        </w:rPr>
      </w:pPr>
    </w:p>
    <w:p w14:paraId="5D44FD92" w14:textId="77777777" w:rsidR="005B05FC" w:rsidRPr="005B05FC" w:rsidRDefault="005B05FC" w:rsidP="005B05FC">
      <w:pPr>
        <w:ind w:left="270" w:hanging="270"/>
        <w:rPr>
          <w:rFonts w:ascii="Consolas" w:eastAsia="Calibri" w:hAnsi="Consolas" w:cs="Consolas"/>
          <w:sz w:val="21"/>
          <w:szCs w:val="21"/>
        </w:rPr>
      </w:pPr>
    </w:p>
    <w:p w14:paraId="3AC0B004" w14:textId="77777777" w:rsidR="005B05FC" w:rsidRPr="005B05FC" w:rsidRDefault="005B05FC" w:rsidP="005B05FC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14:paraId="0D2D6B76" w14:textId="77777777" w:rsidR="00DF5811" w:rsidRPr="005B05FC" w:rsidRDefault="00DF5811" w:rsidP="005B05FC"/>
    <w:sectPr w:rsidR="00DF5811" w:rsidRPr="005B05FC" w:rsidSect="00D8377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7468" w14:textId="77777777" w:rsidR="00890C7D" w:rsidRDefault="00890C7D" w:rsidP="00161086">
      <w:r>
        <w:separator/>
      </w:r>
    </w:p>
  </w:endnote>
  <w:endnote w:type="continuationSeparator" w:id="0">
    <w:p w14:paraId="757EAA08" w14:textId="77777777" w:rsidR="00890C7D" w:rsidRDefault="00890C7D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8D73" w14:textId="77777777" w:rsidR="00AB3A4B" w:rsidRPr="00E258E9" w:rsidRDefault="00AB3A4B" w:rsidP="00AB3A4B">
    <w:pPr>
      <w:pStyle w:val="a5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a9"/>
        <w:rFonts w:ascii="Arial" w:hAnsi="Arial" w:cs="Arial"/>
        <w:b/>
      </w:rPr>
      <w:fldChar w:fldCharType="begin"/>
    </w:r>
    <w:r w:rsidRPr="00E258E9">
      <w:rPr>
        <w:rStyle w:val="a9"/>
        <w:rFonts w:ascii="Arial" w:hAnsi="Arial" w:cs="Arial"/>
        <w:b/>
      </w:rPr>
      <w:instrText xml:space="preserve"> PAGE </w:instrText>
    </w:r>
    <w:r w:rsidRPr="00E258E9">
      <w:rPr>
        <w:rStyle w:val="a9"/>
        <w:rFonts w:ascii="Arial" w:hAnsi="Arial" w:cs="Arial"/>
        <w:b/>
      </w:rPr>
      <w:fldChar w:fldCharType="separate"/>
    </w:r>
    <w:r w:rsidR="00721B42">
      <w:rPr>
        <w:rStyle w:val="a9"/>
        <w:rFonts w:ascii="Arial" w:hAnsi="Arial" w:cs="Arial"/>
        <w:b/>
        <w:noProof/>
      </w:rPr>
      <w:t>3</w:t>
    </w:r>
    <w:r w:rsidRPr="00E258E9">
      <w:rPr>
        <w:rStyle w:val="a9"/>
        <w:rFonts w:ascii="Arial" w:hAnsi="Arial" w:cs="Arial"/>
        <w:b/>
      </w:rPr>
      <w:fldChar w:fldCharType="end"/>
    </w:r>
    <w:r w:rsidRPr="00E258E9">
      <w:rPr>
        <w:rStyle w:val="a9"/>
        <w:rFonts w:ascii="Arial" w:hAnsi="Arial" w:cs="Arial"/>
        <w:b/>
      </w:rPr>
      <w:t xml:space="preserve"> of </w:t>
    </w:r>
    <w:r w:rsidRPr="00E258E9">
      <w:rPr>
        <w:rStyle w:val="a9"/>
        <w:rFonts w:ascii="Arial" w:hAnsi="Arial" w:cs="Arial"/>
        <w:b/>
      </w:rPr>
      <w:fldChar w:fldCharType="begin"/>
    </w:r>
    <w:r w:rsidRPr="00E258E9">
      <w:rPr>
        <w:rStyle w:val="a9"/>
        <w:rFonts w:ascii="Arial" w:hAnsi="Arial" w:cs="Arial"/>
        <w:b/>
      </w:rPr>
      <w:instrText xml:space="preserve"> NUMPAGES </w:instrText>
    </w:r>
    <w:r w:rsidRPr="00E258E9">
      <w:rPr>
        <w:rStyle w:val="a9"/>
        <w:rFonts w:ascii="Arial" w:hAnsi="Arial" w:cs="Arial"/>
        <w:b/>
      </w:rPr>
      <w:fldChar w:fldCharType="separate"/>
    </w:r>
    <w:r w:rsidR="00721B42">
      <w:rPr>
        <w:rStyle w:val="a9"/>
        <w:rFonts w:ascii="Arial" w:hAnsi="Arial" w:cs="Arial"/>
        <w:b/>
        <w:noProof/>
      </w:rPr>
      <w:t>3</w:t>
    </w:r>
    <w:r w:rsidRPr="00E258E9">
      <w:rPr>
        <w:rStyle w:val="a9"/>
        <w:rFonts w:ascii="Arial" w:hAnsi="Arial" w:cs="Arial"/>
        <w:b/>
      </w:rPr>
      <w:fldChar w:fldCharType="end"/>
    </w:r>
  </w:p>
  <w:p w14:paraId="0FF931D9" w14:textId="77777777" w:rsidR="00161086" w:rsidRDefault="00161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4E8A9" w14:textId="77777777" w:rsidR="00890C7D" w:rsidRDefault="00890C7D" w:rsidP="00161086">
      <w:r>
        <w:separator/>
      </w:r>
    </w:p>
  </w:footnote>
  <w:footnote w:type="continuationSeparator" w:id="0">
    <w:p w14:paraId="5E4972B9" w14:textId="77777777" w:rsidR="00890C7D" w:rsidRDefault="00890C7D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F8B2" w14:textId="77777777" w:rsidR="00161086" w:rsidRDefault="00890C7D">
    <w:pPr>
      <w:pStyle w:val="a4"/>
    </w:pPr>
    <w:r>
      <w:rPr>
        <w:noProof/>
      </w:rPr>
      <w:pict w14:anchorId="30E56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63EB7" w14:textId="77777777" w:rsidR="00161086" w:rsidRDefault="00890C7D">
    <w:pPr>
      <w:pStyle w:val="a4"/>
    </w:pPr>
    <w:r>
      <w:rPr>
        <w:noProof/>
      </w:rPr>
      <w:pict w14:anchorId="6C01D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16EA" w14:textId="77777777" w:rsidR="00161086" w:rsidRDefault="00890C7D">
    <w:pPr>
      <w:pStyle w:val="a4"/>
    </w:pPr>
    <w:r>
      <w:rPr>
        <w:noProof/>
      </w:rPr>
      <w:pict w14:anchorId="1E28B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1B82"/>
    <w:multiLevelType w:val="hybridMultilevel"/>
    <w:tmpl w:val="91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6"/>
    <w:rsid w:val="0005764D"/>
    <w:rsid w:val="00105E5D"/>
    <w:rsid w:val="00161086"/>
    <w:rsid w:val="00224FA1"/>
    <w:rsid w:val="00245F3C"/>
    <w:rsid w:val="00350A6E"/>
    <w:rsid w:val="0035745F"/>
    <w:rsid w:val="00364CB5"/>
    <w:rsid w:val="003D5DC3"/>
    <w:rsid w:val="004422BF"/>
    <w:rsid w:val="005B03E0"/>
    <w:rsid w:val="005B05FC"/>
    <w:rsid w:val="00637B1C"/>
    <w:rsid w:val="00651A3E"/>
    <w:rsid w:val="006879A0"/>
    <w:rsid w:val="006C52A2"/>
    <w:rsid w:val="00721B42"/>
    <w:rsid w:val="00741203"/>
    <w:rsid w:val="007A33D9"/>
    <w:rsid w:val="007C52E7"/>
    <w:rsid w:val="007E7988"/>
    <w:rsid w:val="00825657"/>
    <w:rsid w:val="00890C7D"/>
    <w:rsid w:val="0093338C"/>
    <w:rsid w:val="009A48BC"/>
    <w:rsid w:val="00AB3A4B"/>
    <w:rsid w:val="00BA6FCE"/>
    <w:rsid w:val="00BA7076"/>
    <w:rsid w:val="00BD3162"/>
    <w:rsid w:val="00D83774"/>
    <w:rsid w:val="00DF5811"/>
    <w:rsid w:val="00E567AF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563693"/>
  <w14:defaultImageDpi w14:val="300"/>
  <w15:docId w15:val="{490A33C6-0D7A-4516-AC49-8940FA9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nhideWhenUsed/>
    <w:rsid w:val="00161086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rsid w:val="00161086"/>
  </w:style>
  <w:style w:type="paragraph" w:styleId="a5">
    <w:name w:val="footer"/>
    <w:basedOn w:val="a"/>
    <w:link w:val="Char1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rsid w:val="00161086"/>
  </w:style>
  <w:style w:type="character" w:customStyle="1" w:styleId="1Char">
    <w:name w:val="제목 1 Char"/>
    <w:basedOn w:val="a0"/>
    <w:link w:val="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7">
    <w:name w:val="Title"/>
    <w:basedOn w:val="a"/>
    <w:next w:val="a"/>
    <w:link w:val="Char2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제목 Char"/>
    <w:basedOn w:val="a0"/>
    <w:link w:val="a7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AB3A4B"/>
    <w:rPr>
      <w:b/>
      <w:bCs/>
    </w:rPr>
  </w:style>
  <w:style w:type="character" w:styleId="a9">
    <w:name w:val="page number"/>
    <w:basedOn w:val="a0"/>
    <w:rsid w:val="00AB3A4B"/>
  </w:style>
  <w:style w:type="table" w:styleId="3">
    <w:name w:val="Table Classic 3"/>
    <w:basedOn w:val="a1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a1"/>
    <w:next w:val="3"/>
    <w:rsid w:val="00651A3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E567AF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E567AF"/>
    <w:rPr>
      <w:sz w:val="20"/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E567AF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567AF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E56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NCI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KyungCho Cho</cp:lastModifiedBy>
  <cp:revision>5</cp:revision>
  <dcterms:created xsi:type="dcterms:W3CDTF">2017-04-28T14:30:00Z</dcterms:created>
  <dcterms:modified xsi:type="dcterms:W3CDTF">2017-04-28T21:24:00Z</dcterms:modified>
</cp:coreProperties>
</file>