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AB3A4B" w:rsidRPr="00C46BA4" w:rsidTr="00B66126">
        <w:tc>
          <w:tcPr>
            <w:tcW w:w="8856" w:type="dxa"/>
          </w:tcPr>
          <w:p w:rsidR="00AB3A4B" w:rsidRPr="00C46BA4" w:rsidRDefault="00AB3A4B" w:rsidP="00B66126">
            <w:pPr>
              <w:pStyle w:val="Title"/>
            </w:pPr>
            <w:r w:rsidRPr="00C46BA4">
              <w:t>STANDARD OPERATING PROCEDURE</w:t>
            </w:r>
          </w:p>
        </w:tc>
      </w:tr>
      <w:tr w:rsidR="00AB3A4B" w:rsidRPr="00C46BA4" w:rsidTr="00B66126">
        <w:tc>
          <w:tcPr>
            <w:tcW w:w="885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324"/>
              <w:gridCol w:w="4316"/>
            </w:tblGrid>
            <w:tr w:rsidR="00AB3A4B" w:rsidRPr="00304744" w:rsidTr="00B66126">
              <w:trPr>
                <w:trHeight w:val="711"/>
              </w:trPr>
              <w:tc>
                <w:tcPr>
                  <w:tcW w:w="8856" w:type="dxa"/>
                  <w:gridSpan w:val="2"/>
                  <w:tcBorders>
                    <w:top w:val="single" w:sz="4" w:space="0" w:color="auto"/>
                  </w:tcBorders>
                </w:tcPr>
                <w:p w:rsidR="00AB3A4B" w:rsidRPr="007226F0" w:rsidRDefault="00AB3A4B" w:rsidP="00A2609F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Title:  </w:t>
                  </w:r>
                  <w:r w:rsidR="00A2609F">
                    <w:rPr>
                      <w:rStyle w:val="Strong"/>
                    </w:rPr>
                    <w:t>LC-MRM Mass Spectrometry Analysis of Peptide Surrogate Markers of Protein Expression on TSQ Quantiva</w:t>
                  </w:r>
                  <w:r w:rsidR="00A80262">
                    <w:rPr>
                      <w:rStyle w:val="Strong"/>
                    </w:rPr>
                    <w:t xml:space="preserve"> and Data Processing in Skyline</w:t>
                  </w:r>
                </w:p>
              </w:tc>
            </w:tr>
            <w:tr w:rsidR="00AB3A4B" w:rsidRPr="00304744" w:rsidTr="00B66126">
              <w:trPr>
                <w:trHeight w:val="192"/>
              </w:trPr>
              <w:tc>
                <w:tcPr>
                  <w:tcW w:w="4428" w:type="dxa"/>
                </w:tcPr>
                <w:p w:rsidR="00AB3A4B" w:rsidRPr="007226F0" w:rsidRDefault="00AB3A4B" w:rsidP="00B66126">
                  <w:pPr>
                    <w:pStyle w:val="Header"/>
                    <w:spacing w:after="60"/>
                    <w:rPr>
                      <w:rStyle w:val="Strong"/>
                    </w:rPr>
                  </w:pPr>
                </w:p>
              </w:tc>
              <w:tc>
                <w:tcPr>
                  <w:tcW w:w="4428" w:type="dxa"/>
                </w:tcPr>
                <w:p w:rsidR="00AB3A4B" w:rsidRPr="007226F0" w:rsidRDefault="00AB3A4B" w:rsidP="00B66126">
                  <w:pPr>
                    <w:pStyle w:val="Header"/>
                    <w:jc w:val="right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  </w:t>
                  </w:r>
                </w:p>
              </w:tc>
            </w:tr>
            <w:tr w:rsidR="00AB3A4B" w:rsidRPr="00304744" w:rsidTr="00B66126">
              <w:trPr>
                <w:trHeight w:val="528"/>
              </w:trPr>
              <w:tc>
                <w:tcPr>
                  <w:tcW w:w="4428" w:type="dxa"/>
                </w:tcPr>
                <w:p w:rsidR="00AB3A4B" w:rsidRPr="007226F0" w:rsidRDefault="00AB3A4B" w:rsidP="00B66126">
                  <w:pPr>
                    <w:pStyle w:val="Header"/>
                    <w:spacing w:before="60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Version #:  </w:t>
                  </w:r>
                  <w:r w:rsidR="00A2609F">
                    <w:rPr>
                      <w:rStyle w:val="Strong"/>
                    </w:rPr>
                    <w:t>1</w:t>
                  </w:r>
                </w:p>
              </w:tc>
              <w:tc>
                <w:tcPr>
                  <w:tcW w:w="4428" w:type="dxa"/>
                </w:tcPr>
                <w:p w:rsidR="00AB3A4B" w:rsidRPr="007226F0" w:rsidRDefault="00AB3A4B" w:rsidP="00B66126">
                  <w:pPr>
                    <w:pStyle w:val="Header"/>
                    <w:spacing w:before="60" w:after="60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Author: </w:t>
                  </w:r>
                  <w:r w:rsidR="00EC4A90">
                    <w:rPr>
                      <w:rStyle w:val="Strong"/>
                    </w:rPr>
                    <w:t>Koomen Lab</w:t>
                  </w:r>
                  <w:r w:rsidR="00CE4184">
                    <w:rPr>
                      <w:rStyle w:val="Strong"/>
                    </w:rPr>
                    <w:t xml:space="preserve"> on behalf of the RAS Immuno-MRM Working Group</w:t>
                  </w:r>
                </w:p>
              </w:tc>
            </w:tr>
            <w:tr w:rsidR="00AB3A4B" w:rsidRPr="00304744" w:rsidTr="00B66126">
              <w:trPr>
                <w:trHeight w:val="528"/>
              </w:trPr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AB3A4B" w:rsidRPr="007226F0" w:rsidRDefault="00AB3A4B" w:rsidP="00B66126">
                  <w:pPr>
                    <w:pStyle w:val="Header"/>
                    <w:spacing w:before="60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Date: </w:t>
                  </w:r>
                  <w:r w:rsidR="00A2609F">
                    <w:rPr>
                      <w:rStyle w:val="Strong"/>
                    </w:rPr>
                    <w:t>5/30/2018</w:t>
                  </w:r>
                </w:p>
              </w:tc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AB3A4B" w:rsidRPr="007226F0" w:rsidRDefault="00AB3A4B" w:rsidP="00B66126">
                  <w:pPr>
                    <w:pStyle w:val="Header"/>
                    <w:tabs>
                      <w:tab w:val="left" w:pos="792"/>
                    </w:tabs>
                    <w:spacing w:before="60" w:after="60"/>
                    <w:rPr>
                      <w:rStyle w:val="Strong"/>
                    </w:rPr>
                  </w:pPr>
                </w:p>
              </w:tc>
            </w:tr>
          </w:tbl>
          <w:p w:rsidR="00AB3A4B" w:rsidRPr="00C46BA4" w:rsidRDefault="00AB3A4B" w:rsidP="00B66126">
            <w:pPr>
              <w:pStyle w:val="Header"/>
              <w:jc w:val="center"/>
              <w:rPr>
                <w:rFonts w:ascii="Arial" w:hAnsi="Arial"/>
                <w:b/>
                <w:sz w:val="32"/>
              </w:rPr>
            </w:pPr>
          </w:p>
        </w:tc>
      </w:tr>
    </w:tbl>
    <w:p w:rsidR="00AB3A4B" w:rsidRDefault="00AB3A4B" w:rsidP="00AB3A4B">
      <w:pPr>
        <w:pStyle w:val="Heading1"/>
      </w:pPr>
      <w:r>
        <w:t>Purpose</w:t>
      </w:r>
    </w:p>
    <w:p w:rsidR="00AB3A4B" w:rsidRDefault="00AB3A4B" w:rsidP="00AB3A4B">
      <w:r w:rsidRPr="00DD1682">
        <w:t>The purpose of this document is to</w:t>
      </w:r>
      <w:r>
        <w:t xml:space="preserve"> </w:t>
      </w:r>
      <w:r w:rsidR="00A2609F">
        <w:t xml:space="preserve">describe the liquid chromatography – multiple </w:t>
      </w:r>
      <w:proofErr w:type="gramStart"/>
      <w:r w:rsidR="00A2609F">
        <w:t>reaction</w:t>
      </w:r>
      <w:proofErr w:type="gramEnd"/>
      <w:r w:rsidR="00A2609F">
        <w:t xml:space="preserve"> monitoring </w:t>
      </w:r>
      <w:r w:rsidR="00CE4184">
        <w:t xml:space="preserve">mass spectrometry </w:t>
      </w:r>
      <w:r w:rsidR="00A2609F">
        <w:t>(LC-MRM) method used for quantification of protein expression by targeting unmodified surrogate peptides.</w:t>
      </w:r>
    </w:p>
    <w:p w:rsidR="00AB3A4B" w:rsidRDefault="00AB3A4B" w:rsidP="00AB3A4B">
      <w:pPr>
        <w:pStyle w:val="Heading1"/>
      </w:pPr>
      <w:r>
        <w:t>Scope</w:t>
      </w:r>
    </w:p>
    <w:p w:rsidR="00AB3A4B" w:rsidRPr="00DD1682" w:rsidRDefault="00AB3A4B" w:rsidP="00AB3A4B">
      <w:r w:rsidRPr="00DD1682">
        <w:t xml:space="preserve">This procedure </w:t>
      </w:r>
      <w:r>
        <w:t>may be used</w:t>
      </w:r>
      <w:r w:rsidR="00A2609F">
        <w:t xml:space="preserve"> set up a</w:t>
      </w:r>
      <w:r w:rsidR="00CE4184">
        <w:t>n</w:t>
      </w:r>
      <w:r w:rsidR="00A2609F">
        <w:t xml:space="preserve"> LC-MRM method</w:t>
      </w:r>
      <w:r>
        <w:t xml:space="preserve"> to</w:t>
      </w:r>
      <w:r w:rsidR="00A2609F">
        <w:t xml:space="preserve"> run digested protein samples containing desalted peptides. </w:t>
      </w:r>
      <w:r w:rsidR="00CE4184">
        <w:t xml:space="preserve"> </w:t>
      </w:r>
      <w:r w:rsidR="00A2609F">
        <w:t xml:space="preserve">Parameters are specific to a Dionex </w:t>
      </w:r>
      <w:proofErr w:type="spellStart"/>
      <w:r w:rsidR="00A2609F">
        <w:t>RSLCnano</w:t>
      </w:r>
      <w:proofErr w:type="spellEnd"/>
      <w:r w:rsidR="00A2609F">
        <w:t xml:space="preserve"> LC system using the trap and elute mode </w:t>
      </w:r>
      <w:r w:rsidR="00CE4184">
        <w:t>interfaced with</w:t>
      </w:r>
      <w:r w:rsidR="00A2609F">
        <w:t xml:space="preserve"> a Thermo TSQ Quantiva triple quadrupole mass spectrometer. </w:t>
      </w:r>
    </w:p>
    <w:p w:rsidR="00AB3A4B" w:rsidRDefault="00AB3A4B" w:rsidP="00AB3A4B">
      <w:pPr>
        <w:pStyle w:val="Heading1"/>
      </w:pPr>
      <w:r>
        <w:t>Responsibilities</w:t>
      </w:r>
    </w:p>
    <w:p w:rsidR="00AB3A4B" w:rsidRDefault="00AB3A4B" w:rsidP="00AB3A4B">
      <w:r w:rsidRPr="00DD1682">
        <w:t>It is the responsibility of person(s) performing this procedure to be familiar with lab</w:t>
      </w:r>
      <w:r>
        <w:t>oratory</w:t>
      </w:r>
      <w:r w:rsidRPr="00DD1682">
        <w:t xml:space="preserve"> safety procedures.  The interpretation of results must be done by a person trained in the procedure and familiar with such interpretation.  </w:t>
      </w:r>
    </w:p>
    <w:p w:rsidR="00AB3A4B" w:rsidRDefault="00AB3A4B" w:rsidP="00AB3A4B">
      <w:pPr>
        <w:pStyle w:val="Heading1"/>
      </w:pPr>
      <w:r>
        <w:t>Equipment</w:t>
      </w:r>
    </w:p>
    <w:p w:rsidR="00AB3A4B" w:rsidRDefault="0047648F" w:rsidP="0047648F">
      <w:pPr>
        <w:pStyle w:val="ListParagraph"/>
        <w:numPr>
          <w:ilvl w:val="0"/>
          <w:numId w:val="1"/>
        </w:numPr>
      </w:pPr>
      <w:r>
        <w:t xml:space="preserve">LC System:  </w:t>
      </w:r>
      <w:r w:rsidRPr="0047648F">
        <w:t xml:space="preserve">Dionex Ultimate 3000, </w:t>
      </w:r>
      <w:proofErr w:type="spellStart"/>
      <w:r w:rsidRPr="0047648F">
        <w:t>RSLCnano</w:t>
      </w:r>
      <w:proofErr w:type="spellEnd"/>
      <w:r w:rsidRPr="0047648F">
        <w:t xml:space="preserve"> System</w:t>
      </w:r>
    </w:p>
    <w:p w:rsidR="0047648F" w:rsidRDefault="0047648F" w:rsidP="0047648F">
      <w:pPr>
        <w:pStyle w:val="ListParagraph"/>
        <w:numPr>
          <w:ilvl w:val="0"/>
          <w:numId w:val="1"/>
        </w:numPr>
      </w:pPr>
      <w:r>
        <w:t xml:space="preserve">Autosampler: </w:t>
      </w:r>
      <w:r w:rsidRPr="0047648F">
        <w:t>Dionex Ultimate 3000, RS Autosampler (Nano)</w:t>
      </w:r>
    </w:p>
    <w:p w:rsidR="0047648F" w:rsidRPr="00E46B3E" w:rsidRDefault="0047648F" w:rsidP="0047648F">
      <w:pPr>
        <w:pStyle w:val="ListParagraph"/>
        <w:numPr>
          <w:ilvl w:val="0"/>
          <w:numId w:val="1"/>
        </w:numPr>
      </w:pPr>
      <w:r>
        <w:t>Mass Spectrometer: Thermo TSQ Quantiva</w:t>
      </w:r>
      <w:r w:rsidR="005566DF">
        <w:t xml:space="preserve"> with </w:t>
      </w:r>
      <w:proofErr w:type="spellStart"/>
      <w:r w:rsidR="005566DF">
        <w:t>NanoFlex</w:t>
      </w:r>
      <w:proofErr w:type="spellEnd"/>
      <w:r w:rsidR="005566DF">
        <w:t xml:space="preserve"> source</w:t>
      </w:r>
    </w:p>
    <w:p w:rsidR="00AB3A4B" w:rsidRDefault="00AB3A4B" w:rsidP="00AB3A4B">
      <w:pPr>
        <w:pStyle w:val="Heading1"/>
      </w:pPr>
      <w:r>
        <w:t>Materials</w:t>
      </w:r>
    </w:p>
    <w:p w:rsidR="0047648F" w:rsidRDefault="0047648F" w:rsidP="0047648F">
      <w:pPr>
        <w:pStyle w:val="ListParagraph"/>
        <w:numPr>
          <w:ilvl w:val="0"/>
          <w:numId w:val="1"/>
        </w:numPr>
      </w:pPr>
      <w:r>
        <w:t xml:space="preserve">Injection loop: </w:t>
      </w:r>
      <w:proofErr w:type="spellStart"/>
      <w:r>
        <w:t>NanoViper</w:t>
      </w:r>
      <w:proofErr w:type="spellEnd"/>
      <w:r>
        <w:t xml:space="preserve"> sample loop, 20 µL, FS/PEEK sheathed (Thermo, 6826.2420</w:t>
      </w:r>
      <w:r w:rsidR="005566DF">
        <w:t>)</w:t>
      </w:r>
    </w:p>
    <w:p w:rsidR="005566DF" w:rsidRDefault="005566DF" w:rsidP="005566DF">
      <w:pPr>
        <w:pStyle w:val="ListParagraph"/>
        <w:numPr>
          <w:ilvl w:val="0"/>
          <w:numId w:val="1"/>
        </w:numPr>
      </w:pPr>
      <w:r>
        <w:t xml:space="preserve">Trap column: </w:t>
      </w:r>
      <w:r w:rsidRPr="005566DF">
        <w:t xml:space="preserve">Acclaim </w:t>
      </w:r>
      <w:proofErr w:type="spellStart"/>
      <w:r w:rsidRPr="005566DF">
        <w:t>Pepmap</w:t>
      </w:r>
      <w:proofErr w:type="spellEnd"/>
      <w:r>
        <w:t>™</w:t>
      </w:r>
      <w:r w:rsidRPr="005566DF">
        <w:t xml:space="preserve"> 100, 100 µm x 2 cm, C18, 5 µm, 100A (Thermo</w:t>
      </w:r>
      <w:r>
        <w:t xml:space="preserve">, </w:t>
      </w:r>
      <w:r w:rsidRPr="005566DF">
        <w:t>164564)</w:t>
      </w:r>
    </w:p>
    <w:p w:rsidR="005566DF" w:rsidRDefault="005566DF" w:rsidP="005566DF">
      <w:pPr>
        <w:pStyle w:val="ListParagraph"/>
        <w:numPr>
          <w:ilvl w:val="0"/>
          <w:numId w:val="1"/>
        </w:numPr>
      </w:pPr>
      <w:r>
        <w:lastRenderedPageBreak/>
        <w:t xml:space="preserve">Analytical column: Acclaim </w:t>
      </w:r>
      <w:proofErr w:type="spellStart"/>
      <w:r>
        <w:t>Pepmap</w:t>
      </w:r>
      <w:proofErr w:type="spellEnd"/>
      <w:r>
        <w:t>™</w:t>
      </w:r>
      <w:r w:rsidRPr="005566DF">
        <w:t xml:space="preserve"> RSLC, 75 µm x 25 cm, C18, 2 µm, 100A (Thermo</w:t>
      </w:r>
      <w:r>
        <w:t xml:space="preserve">, </w:t>
      </w:r>
      <w:r w:rsidRPr="005566DF">
        <w:t>164941)</w:t>
      </w:r>
    </w:p>
    <w:p w:rsidR="005566DF" w:rsidRDefault="005566DF" w:rsidP="005566DF">
      <w:pPr>
        <w:pStyle w:val="ListParagraph"/>
        <w:numPr>
          <w:ilvl w:val="0"/>
          <w:numId w:val="1"/>
        </w:numPr>
      </w:pPr>
      <w:r>
        <w:t xml:space="preserve">Spray tip: </w:t>
      </w:r>
      <w:r w:rsidRPr="005566DF">
        <w:t>precut SilicaTip emitters (</w:t>
      </w:r>
      <w:r>
        <w:t xml:space="preserve">New Objective, </w:t>
      </w:r>
      <w:r w:rsidRPr="005566DF">
        <w:t>FS360-25-10-N-20-CT)</w:t>
      </w:r>
    </w:p>
    <w:p w:rsidR="0047648F" w:rsidRPr="0047648F" w:rsidRDefault="0047648F" w:rsidP="0047648F">
      <w:pPr>
        <w:pStyle w:val="ListParagraph"/>
        <w:numPr>
          <w:ilvl w:val="0"/>
          <w:numId w:val="1"/>
        </w:numPr>
      </w:pPr>
      <w:r w:rsidRPr="0047648F">
        <w:t>Autosampler vials, 250 µL (Thermo, 160133)</w:t>
      </w:r>
    </w:p>
    <w:p w:rsidR="0047648F" w:rsidRPr="0047648F" w:rsidRDefault="0047648F" w:rsidP="0047648F">
      <w:pPr>
        <w:pStyle w:val="ListParagraph"/>
        <w:numPr>
          <w:ilvl w:val="0"/>
          <w:numId w:val="1"/>
        </w:numPr>
      </w:pPr>
      <w:proofErr w:type="spellStart"/>
      <w:r w:rsidRPr="0047648F">
        <w:t>epT.I.P.S</w:t>
      </w:r>
      <w:proofErr w:type="spellEnd"/>
      <w:r w:rsidRPr="0047648F">
        <w:t>. reloads (Eppendorf)</w:t>
      </w:r>
    </w:p>
    <w:p w:rsidR="00AB3A4B" w:rsidRPr="007226F0" w:rsidRDefault="0047648F" w:rsidP="005566DF">
      <w:pPr>
        <w:pStyle w:val="ListParagraph"/>
        <w:numPr>
          <w:ilvl w:val="0"/>
          <w:numId w:val="1"/>
        </w:numPr>
      </w:pPr>
      <w:r w:rsidRPr="0047648F">
        <w:t>Pipettes</w:t>
      </w:r>
    </w:p>
    <w:p w:rsidR="00AB3A4B" w:rsidRDefault="00AB3A4B" w:rsidP="00AB3A4B">
      <w:pPr>
        <w:pStyle w:val="Heading1"/>
      </w:pPr>
      <w:r>
        <w:t>Reagents</w:t>
      </w:r>
    </w:p>
    <w:p w:rsidR="0047648F" w:rsidRPr="0047648F" w:rsidRDefault="0047648F" w:rsidP="0047648F">
      <w:pPr>
        <w:pStyle w:val="ListParagraph"/>
        <w:numPr>
          <w:ilvl w:val="0"/>
          <w:numId w:val="1"/>
        </w:numPr>
      </w:pPr>
      <w:r w:rsidRPr="0047648F">
        <w:t>Water, HPLC grade (Burdick &amp; Jackson, AH365-4)</w:t>
      </w:r>
    </w:p>
    <w:p w:rsidR="00AB3A4B" w:rsidRDefault="0047648F" w:rsidP="0047648F">
      <w:pPr>
        <w:pStyle w:val="ListParagraph"/>
        <w:numPr>
          <w:ilvl w:val="0"/>
          <w:numId w:val="1"/>
        </w:numPr>
      </w:pPr>
      <w:r w:rsidRPr="0047648F">
        <w:t>Acetonitrile, HPLC grade (Burdick &amp; Jackson, AH015-4)</w:t>
      </w:r>
    </w:p>
    <w:p w:rsidR="0047648F" w:rsidRPr="0047648F" w:rsidRDefault="0047648F" w:rsidP="0047648F">
      <w:pPr>
        <w:pStyle w:val="ListParagraph"/>
        <w:numPr>
          <w:ilvl w:val="0"/>
          <w:numId w:val="1"/>
        </w:numPr>
      </w:pPr>
      <w:r w:rsidRPr="0047648F">
        <w:t>Methanol, HPLC grade (Burdick &amp; Jackson, AH230-4)</w:t>
      </w:r>
    </w:p>
    <w:p w:rsidR="0047648F" w:rsidRDefault="0047648F" w:rsidP="0047648F">
      <w:pPr>
        <w:pStyle w:val="ListParagraph"/>
        <w:numPr>
          <w:ilvl w:val="0"/>
          <w:numId w:val="1"/>
        </w:numPr>
      </w:pPr>
      <w:r w:rsidRPr="0047648F">
        <w:t>Formic Acid, Optima LC-MS Grade, ≥99.5%  (Fisher, A117-50)</w:t>
      </w:r>
    </w:p>
    <w:p w:rsidR="00AB3A4B" w:rsidRPr="005566DF" w:rsidRDefault="0047648F" w:rsidP="00AB3A4B">
      <w:pPr>
        <w:pStyle w:val="ListParagraph"/>
        <w:numPr>
          <w:ilvl w:val="0"/>
          <w:numId w:val="1"/>
        </w:numPr>
        <w:rPr>
          <w:rStyle w:val="Heading1Char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47648F">
        <w:t>Pierce Retention Time Calibration Mixture (Thermo, 88321)</w:t>
      </w:r>
    </w:p>
    <w:p w:rsidR="00AB3A4B" w:rsidRDefault="00AB3A4B" w:rsidP="00AB3A4B">
      <w:pPr>
        <w:pStyle w:val="Heading1"/>
        <w:rPr>
          <w:rFonts w:ascii="Arial" w:hAnsi="Arial" w:cs="Arial"/>
          <w:szCs w:val="24"/>
        </w:rPr>
      </w:pPr>
      <w:r w:rsidRPr="00B60321">
        <w:t>Solutions</w:t>
      </w:r>
    </w:p>
    <w:p w:rsidR="005566DF" w:rsidRPr="005566DF" w:rsidRDefault="005566DF" w:rsidP="005566DF">
      <w:r>
        <w:t>All solvents must be degassed.</w:t>
      </w:r>
    </w:p>
    <w:p w:rsidR="00AB3A4B" w:rsidRPr="005566DF" w:rsidRDefault="005566DF" w:rsidP="00AB3A4B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t>Loading Solvent: 1.5% acetonitrile, 0.1% formic acid</w:t>
      </w:r>
    </w:p>
    <w:p w:rsidR="005566DF" w:rsidRPr="005566DF" w:rsidRDefault="005566DF" w:rsidP="005566DF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t>Mobile phase A: 1.5% acetonitrile, 0.1% formic acid</w:t>
      </w:r>
    </w:p>
    <w:p w:rsidR="005566DF" w:rsidRPr="005566DF" w:rsidRDefault="005566DF" w:rsidP="005566DF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t>Mobile phase B: 90% acetonitrile, 0.1% formic acid</w:t>
      </w:r>
    </w:p>
    <w:p w:rsidR="005566DF" w:rsidRPr="00664D4C" w:rsidRDefault="00664D4C" w:rsidP="005566DF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t>Wash solvent</w:t>
      </w:r>
    </w:p>
    <w:p w:rsidR="00664D4C" w:rsidRPr="00664D4C" w:rsidRDefault="00664D4C" w:rsidP="00664D4C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>
        <w:t>Prepare 40% acetonitrile, 50% methanol in HPLC water.</w:t>
      </w:r>
    </w:p>
    <w:p w:rsidR="00664D4C" w:rsidRPr="00664D4C" w:rsidRDefault="00664D4C" w:rsidP="00664D4C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>
        <w:t>Place in an autosampler vial in the autosampler</w:t>
      </w:r>
    </w:p>
    <w:p w:rsidR="00664D4C" w:rsidRPr="00664D4C" w:rsidRDefault="00664D4C" w:rsidP="00664D4C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t>Sample buffer: 2% acetonitrile, 0.1% formic acid</w:t>
      </w:r>
    </w:p>
    <w:p w:rsidR="00664D4C" w:rsidRPr="00664D4C" w:rsidRDefault="00664D4C" w:rsidP="00664D4C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t>PRTC Sample</w:t>
      </w:r>
    </w:p>
    <w:p w:rsidR="00664D4C" w:rsidRPr="00664D4C" w:rsidRDefault="00664D4C" w:rsidP="00664D4C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>
        <w:t>Dilute the pierce retention time calibration mix to 50 fmol/</w:t>
      </w:r>
      <w:r w:rsidRPr="00664D4C">
        <w:t xml:space="preserve"> </w:t>
      </w:r>
      <w:r>
        <w:t>µL (</w:t>
      </w:r>
      <w:proofErr w:type="gramStart"/>
      <w:r>
        <w:t>10x</w:t>
      </w:r>
      <w:proofErr w:type="gramEnd"/>
      <w:r>
        <w:t>) to use in each sample for retention time calibration and instrument QC.</w:t>
      </w:r>
    </w:p>
    <w:p w:rsidR="00664D4C" w:rsidRPr="00664D4C" w:rsidRDefault="00664D4C" w:rsidP="00664D4C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>
        <w:t>Dilute to 5 fmol/</w:t>
      </w:r>
      <w:r w:rsidRPr="00664D4C">
        <w:t xml:space="preserve"> </w:t>
      </w:r>
      <w:r>
        <w:t>µL</w:t>
      </w:r>
    </w:p>
    <w:p w:rsidR="00664D4C" w:rsidRPr="00664D4C" w:rsidRDefault="00664D4C" w:rsidP="00664D4C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>
        <w:t>Place 5 fmol/</w:t>
      </w:r>
      <w:r w:rsidRPr="00664D4C">
        <w:t xml:space="preserve"> </w:t>
      </w:r>
      <w:r>
        <w:t>µL solution in a fresh autosampler vial in the autosampler</w:t>
      </w:r>
    </w:p>
    <w:p w:rsidR="00664D4C" w:rsidRPr="00664D4C" w:rsidRDefault="00664D4C" w:rsidP="00664D4C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t>Blank/A solvent wash</w:t>
      </w:r>
    </w:p>
    <w:p w:rsidR="00664D4C" w:rsidRPr="005566DF" w:rsidRDefault="00664D4C" w:rsidP="00664D4C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>
        <w:t>Place sample buffer into a fresh autosampler vial and put in the autosampler</w:t>
      </w:r>
    </w:p>
    <w:p w:rsidR="00AB3A4B" w:rsidRDefault="00AB3A4B" w:rsidP="00AB3A4B">
      <w:pPr>
        <w:pStyle w:val="Heading1"/>
      </w:pPr>
      <w:r>
        <w:t>Procedure</w:t>
      </w:r>
    </w:p>
    <w:p w:rsidR="00A80262" w:rsidRDefault="00A80262" w:rsidP="00A80262"/>
    <w:p w:rsidR="00A80262" w:rsidRPr="00A80262" w:rsidRDefault="00A80262" w:rsidP="00A80262">
      <w:pPr>
        <w:rPr>
          <w:b/>
        </w:rPr>
      </w:pPr>
      <w:r>
        <w:rPr>
          <w:b/>
        </w:rPr>
        <w:t>LC-MRM Method</w:t>
      </w:r>
    </w:p>
    <w:p w:rsidR="005566DF" w:rsidRDefault="005566DF" w:rsidP="00AB3A4B">
      <w:pPr>
        <w:pStyle w:val="ListParagraph"/>
        <w:numPr>
          <w:ilvl w:val="0"/>
          <w:numId w:val="2"/>
        </w:numPr>
      </w:pPr>
      <w:r>
        <w:t xml:space="preserve">All samples are formulated in </w:t>
      </w:r>
      <w:r w:rsidR="00CE4184">
        <w:t xml:space="preserve">aqueous </w:t>
      </w:r>
      <w:r>
        <w:t>2% acetonitrile, 0.1% formic acid with 5 fmol/</w:t>
      </w:r>
      <w:r w:rsidRPr="005566DF">
        <w:t xml:space="preserve"> </w:t>
      </w:r>
      <w:r>
        <w:t xml:space="preserve">µL PRTC </w:t>
      </w:r>
      <w:r w:rsidR="00CE4184">
        <w:t>standards added to assess instrument performance.</w:t>
      </w:r>
    </w:p>
    <w:p w:rsidR="00AB3A4B" w:rsidRDefault="005566DF" w:rsidP="00AB3A4B">
      <w:pPr>
        <w:pStyle w:val="ListParagraph"/>
        <w:numPr>
          <w:ilvl w:val="0"/>
          <w:numId w:val="2"/>
        </w:numPr>
      </w:pPr>
      <w:r>
        <w:t>The autosampler uses the microliter pickup mode and sample injections are 5 µL each. Sample injection volume must be less than 1/3 of the sample loop (~6.67 µL).</w:t>
      </w:r>
    </w:p>
    <w:p w:rsidR="005566DF" w:rsidRDefault="00664D4C" w:rsidP="00AB3A4B">
      <w:pPr>
        <w:pStyle w:val="ListParagraph"/>
        <w:numPr>
          <w:ilvl w:val="0"/>
          <w:numId w:val="2"/>
        </w:numPr>
      </w:pPr>
      <w:r>
        <w:t xml:space="preserve">Set the column </w:t>
      </w:r>
      <w:r w:rsidR="00EC4A90">
        <w:t>compartment to</w:t>
      </w:r>
      <w:r>
        <w:t xml:space="preserve"> 30 </w:t>
      </w:r>
      <w:r w:rsidRPr="00664D4C">
        <w:rPr>
          <w:vertAlign w:val="superscript"/>
        </w:rPr>
        <w:t>o</w:t>
      </w:r>
      <w:r>
        <w:t>C.</w:t>
      </w:r>
    </w:p>
    <w:p w:rsidR="00664D4C" w:rsidRDefault="00664D4C" w:rsidP="00AB3A4B">
      <w:pPr>
        <w:pStyle w:val="ListParagraph"/>
        <w:numPr>
          <w:ilvl w:val="0"/>
          <w:numId w:val="2"/>
        </w:numPr>
      </w:pPr>
      <w:r>
        <w:lastRenderedPageBreak/>
        <w:t xml:space="preserve">Prepare a fresh transfer vial with fresh mobile </w:t>
      </w:r>
      <w:r w:rsidR="00CE4184">
        <w:t xml:space="preserve">phase </w:t>
      </w:r>
      <w:proofErr w:type="gramStart"/>
      <w:r>
        <w:t>A</w:t>
      </w:r>
      <w:proofErr w:type="gramEnd"/>
      <w:r>
        <w:t xml:space="preserve"> </w:t>
      </w:r>
      <w:r w:rsidR="00CE4184">
        <w:t>(</w:t>
      </w:r>
      <w:r w:rsidR="00CE4184">
        <w:t>aqueous 2% acetonitrile, 0.1% formic acid</w:t>
      </w:r>
      <w:r w:rsidR="00CE4184">
        <w:t>)</w:t>
      </w:r>
      <w:r>
        <w:t>.</w:t>
      </w:r>
    </w:p>
    <w:p w:rsidR="00664D4C" w:rsidRDefault="00664D4C" w:rsidP="00664D4C">
      <w:pPr>
        <w:ind w:left="360"/>
      </w:pPr>
      <w:r>
        <w:t>The following LC method is used:</w:t>
      </w:r>
    </w:p>
    <w:p w:rsidR="00664D4C" w:rsidRDefault="00664D4C" w:rsidP="00664D4C">
      <w:pPr>
        <w:ind w:left="360"/>
      </w:pPr>
    </w:p>
    <w:p w:rsidR="00664D4C" w:rsidRDefault="00664D4C" w:rsidP="00AB3A4B">
      <w:pPr>
        <w:pStyle w:val="ListParagraph"/>
        <w:numPr>
          <w:ilvl w:val="0"/>
          <w:numId w:val="2"/>
        </w:numPr>
      </w:pPr>
      <w:r>
        <w:t xml:space="preserve">Load samples </w:t>
      </w:r>
      <w:proofErr w:type="spellStart"/>
      <w:r w:rsidR="00CE4184">
        <w:t>isocratically</w:t>
      </w:r>
      <w:proofErr w:type="spellEnd"/>
      <w:r w:rsidR="00CE4184">
        <w:t xml:space="preserve"> at 2% B with a</w:t>
      </w:r>
      <w:r>
        <w:t xml:space="preserve"> flow rate </w:t>
      </w:r>
      <w:proofErr w:type="gramStart"/>
      <w:r>
        <w:t>of 2.4 µL/min</w:t>
      </w:r>
      <w:proofErr w:type="gramEnd"/>
      <w:r>
        <w:t xml:space="preserve"> for 7.5 minutes. </w:t>
      </w:r>
    </w:p>
    <w:p w:rsidR="00664D4C" w:rsidRDefault="00664D4C" w:rsidP="00EC4A90">
      <w:pPr>
        <w:pStyle w:val="ListParagraph"/>
        <w:numPr>
          <w:ilvl w:val="0"/>
          <w:numId w:val="2"/>
        </w:numPr>
      </w:pPr>
      <w:r>
        <w:t>Switch the trap column in line with the analytical column at 7.5 minutes, and run the gradient specified in the table below.</w:t>
      </w:r>
    </w:p>
    <w:tbl>
      <w:tblPr>
        <w:tblStyle w:val="LightGrid"/>
        <w:tblW w:w="3729" w:type="dxa"/>
        <w:jc w:val="center"/>
        <w:tblLook w:val="0600" w:firstRow="0" w:lastRow="0" w:firstColumn="0" w:lastColumn="0" w:noHBand="1" w:noVBand="1"/>
      </w:tblPr>
      <w:tblGrid>
        <w:gridCol w:w="1243"/>
        <w:gridCol w:w="1243"/>
        <w:gridCol w:w="1243"/>
      </w:tblGrid>
      <w:tr w:rsidR="00664D4C" w:rsidRPr="00145A16" w:rsidTr="00664D4C">
        <w:trPr>
          <w:trHeight w:val="282"/>
          <w:jc w:val="center"/>
        </w:trPr>
        <w:tc>
          <w:tcPr>
            <w:tcW w:w="1243" w:type="dxa"/>
            <w:vMerge w:val="restart"/>
            <w:hideMark/>
          </w:tcPr>
          <w:p w:rsidR="00664D4C" w:rsidRPr="00664D4C" w:rsidRDefault="00664D4C" w:rsidP="00664D4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64D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Time (min)</w:t>
            </w:r>
          </w:p>
        </w:tc>
        <w:tc>
          <w:tcPr>
            <w:tcW w:w="1243" w:type="dxa"/>
            <w:vMerge w:val="restart"/>
            <w:hideMark/>
          </w:tcPr>
          <w:p w:rsidR="00664D4C" w:rsidRPr="00664D4C" w:rsidRDefault="00664D4C" w:rsidP="00664D4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64D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% B</w:t>
            </w:r>
          </w:p>
        </w:tc>
        <w:tc>
          <w:tcPr>
            <w:tcW w:w="1243" w:type="dxa"/>
            <w:vMerge w:val="restart"/>
            <w:hideMark/>
          </w:tcPr>
          <w:p w:rsidR="00664D4C" w:rsidRPr="00664D4C" w:rsidRDefault="00664D4C" w:rsidP="00664D4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64D4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% A</w:t>
            </w:r>
          </w:p>
        </w:tc>
      </w:tr>
      <w:tr w:rsidR="00664D4C" w:rsidRPr="00145A16" w:rsidTr="00DD5F94">
        <w:trPr>
          <w:trHeight w:val="258"/>
          <w:jc w:val="center"/>
        </w:trPr>
        <w:tc>
          <w:tcPr>
            <w:tcW w:w="1243" w:type="dxa"/>
            <w:vMerge/>
            <w:hideMark/>
          </w:tcPr>
          <w:p w:rsidR="00664D4C" w:rsidRPr="00664D4C" w:rsidRDefault="00664D4C" w:rsidP="00664D4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243" w:type="dxa"/>
            <w:vMerge/>
            <w:hideMark/>
          </w:tcPr>
          <w:p w:rsidR="00664D4C" w:rsidRPr="00664D4C" w:rsidRDefault="00664D4C" w:rsidP="00664D4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243" w:type="dxa"/>
            <w:vMerge/>
            <w:hideMark/>
          </w:tcPr>
          <w:p w:rsidR="00664D4C" w:rsidRPr="00664D4C" w:rsidRDefault="00664D4C" w:rsidP="00664D4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664D4C" w:rsidRPr="00145A16" w:rsidTr="00664D4C">
        <w:trPr>
          <w:trHeight w:val="282"/>
          <w:jc w:val="center"/>
        </w:trPr>
        <w:tc>
          <w:tcPr>
            <w:tcW w:w="1243" w:type="dxa"/>
            <w:hideMark/>
          </w:tcPr>
          <w:p w:rsidR="00664D4C" w:rsidRPr="00664D4C" w:rsidRDefault="00664D4C" w:rsidP="00664D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64D4C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1243" w:type="dxa"/>
            <w:hideMark/>
          </w:tcPr>
          <w:p w:rsidR="00664D4C" w:rsidRPr="00664D4C" w:rsidRDefault="00664D4C" w:rsidP="00664D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64D4C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243" w:type="dxa"/>
            <w:hideMark/>
          </w:tcPr>
          <w:p w:rsidR="00664D4C" w:rsidRPr="00664D4C" w:rsidRDefault="00664D4C" w:rsidP="00664D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64D4C">
              <w:rPr>
                <w:rFonts w:asciiTheme="minorHAnsi" w:hAnsiTheme="minorHAnsi" w:cs="Arial"/>
                <w:sz w:val="22"/>
                <w:szCs w:val="22"/>
              </w:rPr>
              <w:t>98</w:t>
            </w:r>
          </w:p>
        </w:tc>
      </w:tr>
      <w:tr w:rsidR="00664D4C" w:rsidRPr="00145A16" w:rsidTr="00664D4C">
        <w:trPr>
          <w:trHeight w:val="282"/>
          <w:jc w:val="center"/>
        </w:trPr>
        <w:tc>
          <w:tcPr>
            <w:tcW w:w="1243" w:type="dxa"/>
            <w:hideMark/>
          </w:tcPr>
          <w:p w:rsidR="00664D4C" w:rsidRPr="00664D4C" w:rsidRDefault="00664D4C" w:rsidP="00664D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64D4C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243" w:type="dxa"/>
            <w:hideMark/>
          </w:tcPr>
          <w:p w:rsidR="00664D4C" w:rsidRPr="00664D4C" w:rsidRDefault="00664D4C" w:rsidP="00664D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64D4C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243" w:type="dxa"/>
            <w:hideMark/>
          </w:tcPr>
          <w:p w:rsidR="00664D4C" w:rsidRPr="00664D4C" w:rsidRDefault="00664D4C" w:rsidP="00664D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64D4C">
              <w:rPr>
                <w:rFonts w:asciiTheme="minorHAnsi" w:hAnsiTheme="minorHAnsi" w:cs="Arial"/>
                <w:sz w:val="22"/>
                <w:szCs w:val="22"/>
              </w:rPr>
              <w:t>98</w:t>
            </w:r>
          </w:p>
        </w:tc>
      </w:tr>
      <w:tr w:rsidR="00664D4C" w:rsidRPr="00145A16" w:rsidTr="00664D4C">
        <w:trPr>
          <w:trHeight w:val="282"/>
          <w:jc w:val="center"/>
        </w:trPr>
        <w:tc>
          <w:tcPr>
            <w:tcW w:w="1243" w:type="dxa"/>
            <w:hideMark/>
          </w:tcPr>
          <w:p w:rsidR="00664D4C" w:rsidRPr="00664D4C" w:rsidRDefault="00664D4C" w:rsidP="00664D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64D4C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243" w:type="dxa"/>
            <w:hideMark/>
          </w:tcPr>
          <w:p w:rsidR="00664D4C" w:rsidRPr="00664D4C" w:rsidRDefault="00664D4C" w:rsidP="00664D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64D4C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243" w:type="dxa"/>
            <w:hideMark/>
          </w:tcPr>
          <w:p w:rsidR="00664D4C" w:rsidRPr="00664D4C" w:rsidRDefault="00664D4C" w:rsidP="00664D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64D4C">
              <w:rPr>
                <w:rFonts w:asciiTheme="minorHAnsi" w:hAnsiTheme="minorHAnsi" w:cs="Arial"/>
                <w:sz w:val="22"/>
                <w:szCs w:val="22"/>
              </w:rPr>
              <w:t>90</w:t>
            </w:r>
          </w:p>
        </w:tc>
      </w:tr>
      <w:tr w:rsidR="00664D4C" w:rsidRPr="00145A16" w:rsidTr="00664D4C">
        <w:trPr>
          <w:trHeight w:val="282"/>
          <w:jc w:val="center"/>
        </w:trPr>
        <w:tc>
          <w:tcPr>
            <w:tcW w:w="1243" w:type="dxa"/>
            <w:hideMark/>
          </w:tcPr>
          <w:p w:rsidR="00664D4C" w:rsidRPr="00664D4C" w:rsidRDefault="00664D4C" w:rsidP="00664D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64D4C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  <w:tc>
          <w:tcPr>
            <w:tcW w:w="1243" w:type="dxa"/>
            <w:hideMark/>
          </w:tcPr>
          <w:p w:rsidR="00664D4C" w:rsidRPr="00664D4C" w:rsidRDefault="00664D4C" w:rsidP="00664D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64D4C">
              <w:rPr>
                <w:rFonts w:asciiTheme="minorHAnsi" w:hAnsiTheme="minorHAnsi" w:cs="Arial"/>
                <w:sz w:val="22"/>
                <w:szCs w:val="22"/>
              </w:rPr>
              <w:t>28</w:t>
            </w:r>
          </w:p>
        </w:tc>
        <w:tc>
          <w:tcPr>
            <w:tcW w:w="1243" w:type="dxa"/>
            <w:hideMark/>
          </w:tcPr>
          <w:p w:rsidR="00664D4C" w:rsidRPr="00664D4C" w:rsidRDefault="00664D4C" w:rsidP="00664D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64D4C">
              <w:rPr>
                <w:rFonts w:asciiTheme="minorHAnsi" w:hAnsiTheme="minorHAnsi" w:cs="Arial"/>
                <w:sz w:val="22"/>
                <w:szCs w:val="22"/>
              </w:rPr>
              <w:t>72</w:t>
            </w:r>
          </w:p>
        </w:tc>
      </w:tr>
      <w:tr w:rsidR="00664D4C" w:rsidRPr="00145A16" w:rsidTr="00664D4C">
        <w:trPr>
          <w:trHeight w:val="282"/>
          <w:jc w:val="center"/>
        </w:trPr>
        <w:tc>
          <w:tcPr>
            <w:tcW w:w="1243" w:type="dxa"/>
            <w:hideMark/>
          </w:tcPr>
          <w:p w:rsidR="00664D4C" w:rsidRPr="00664D4C" w:rsidRDefault="00664D4C" w:rsidP="00664D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64D4C">
              <w:rPr>
                <w:rFonts w:asciiTheme="minorHAnsi" w:hAnsiTheme="minorHAnsi" w:cs="Arial"/>
                <w:sz w:val="22"/>
                <w:szCs w:val="22"/>
              </w:rPr>
              <w:t>55</w:t>
            </w:r>
          </w:p>
        </w:tc>
        <w:tc>
          <w:tcPr>
            <w:tcW w:w="1243" w:type="dxa"/>
            <w:hideMark/>
          </w:tcPr>
          <w:p w:rsidR="00664D4C" w:rsidRPr="00664D4C" w:rsidRDefault="00664D4C" w:rsidP="00664D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64D4C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  <w:tc>
          <w:tcPr>
            <w:tcW w:w="1243" w:type="dxa"/>
            <w:hideMark/>
          </w:tcPr>
          <w:p w:rsidR="00664D4C" w:rsidRPr="00664D4C" w:rsidRDefault="00664D4C" w:rsidP="00664D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64D4C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664D4C" w:rsidRPr="00145A16" w:rsidTr="00664D4C">
        <w:trPr>
          <w:trHeight w:val="282"/>
          <w:jc w:val="center"/>
        </w:trPr>
        <w:tc>
          <w:tcPr>
            <w:tcW w:w="1243" w:type="dxa"/>
            <w:hideMark/>
          </w:tcPr>
          <w:p w:rsidR="00664D4C" w:rsidRPr="00664D4C" w:rsidRDefault="00664D4C" w:rsidP="00664D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64D4C">
              <w:rPr>
                <w:rFonts w:asciiTheme="minorHAnsi" w:hAnsiTheme="minorHAnsi" w:cs="Arial"/>
                <w:sz w:val="22"/>
                <w:szCs w:val="22"/>
              </w:rPr>
              <w:t>56.5</w:t>
            </w:r>
          </w:p>
        </w:tc>
        <w:tc>
          <w:tcPr>
            <w:tcW w:w="1243" w:type="dxa"/>
            <w:hideMark/>
          </w:tcPr>
          <w:p w:rsidR="00664D4C" w:rsidRPr="00664D4C" w:rsidRDefault="00664D4C" w:rsidP="00664D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64D4C">
              <w:rPr>
                <w:rFonts w:asciiTheme="minorHAnsi" w:hAnsiTheme="minorHAnsi" w:cs="Arial"/>
                <w:sz w:val="22"/>
                <w:szCs w:val="22"/>
              </w:rPr>
              <w:t>92</w:t>
            </w:r>
          </w:p>
        </w:tc>
        <w:tc>
          <w:tcPr>
            <w:tcW w:w="1243" w:type="dxa"/>
            <w:hideMark/>
          </w:tcPr>
          <w:p w:rsidR="00664D4C" w:rsidRPr="00664D4C" w:rsidRDefault="00664D4C" w:rsidP="00664D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64D4C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</w:tr>
      <w:tr w:rsidR="00664D4C" w:rsidRPr="00145A16" w:rsidTr="00664D4C">
        <w:trPr>
          <w:trHeight w:val="282"/>
          <w:jc w:val="center"/>
        </w:trPr>
        <w:tc>
          <w:tcPr>
            <w:tcW w:w="1243" w:type="dxa"/>
            <w:hideMark/>
          </w:tcPr>
          <w:p w:rsidR="00664D4C" w:rsidRPr="00664D4C" w:rsidRDefault="00664D4C" w:rsidP="00664D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64D4C">
              <w:rPr>
                <w:rFonts w:asciiTheme="minorHAnsi" w:hAnsiTheme="minorHAnsi" w:cs="Arial"/>
                <w:sz w:val="22"/>
                <w:szCs w:val="22"/>
              </w:rPr>
              <w:t>62.5</w:t>
            </w:r>
          </w:p>
        </w:tc>
        <w:tc>
          <w:tcPr>
            <w:tcW w:w="1243" w:type="dxa"/>
            <w:hideMark/>
          </w:tcPr>
          <w:p w:rsidR="00664D4C" w:rsidRPr="00664D4C" w:rsidRDefault="00664D4C" w:rsidP="00664D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64D4C">
              <w:rPr>
                <w:rFonts w:asciiTheme="minorHAnsi" w:hAnsiTheme="minorHAnsi" w:cs="Arial"/>
                <w:sz w:val="22"/>
                <w:szCs w:val="22"/>
              </w:rPr>
              <w:t>95</w:t>
            </w:r>
          </w:p>
        </w:tc>
        <w:tc>
          <w:tcPr>
            <w:tcW w:w="1243" w:type="dxa"/>
            <w:hideMark/>
          </w:tcPr>
          <w:p w:rsidR="00664D4C" w:rsidRPr="00664D4C" w:rsidRDefault="00664D4C" w:rsidP="00664D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64D4C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  <w:tr w:rsidR="00664D4C" w:rsidRPr="00145A16" w:rsidTr="00664D4C">
        <w:trPr>
          <w:trHeight w:val="282"/>
          <w:jc w:val="center"/>
        </w:trPr>
        <w:tc>
          <w:tcPr>
            <w:tcW w:w="1243" w:type="dxa"/>
            <w:hideMark/>
          </w:tcPr>
          <w:p w:rsidR="00664D4C" w:rsidRPr="00664D4C" w:rsidRDefault="00664D4C" w:rsidP="00664D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64D4C">
              <w:rPr>
                <w:rFonts w:asciiTheme="minorHAnsi" w:hAnsiTheme="minorHAnsi" w:cs="Arial"/>
                <w:sz w:val="22"/>
                <w:szCs w:val="22"/>
              </w:rPr>
              <w:t>63.5</w:t>
            </w:r>
          </w:p>
        </w:tc>
        <w:tc>
          <w:tcPr>
            <w:tcW w:w="1243" w:type="dxa"/>
            <w:hideMark/>
          </w:tcPr>
          <w:p w:rsidR="00664D4C" w:rsidRPr="00664D4C" w:rsidRDefault="00664D4C" w:rsidP="00664D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64D4C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243" w:type="dxa"/>
            <w:hideMark/>
          </w:tcPr>
          <w:p w:rsidR="00664D4C" w:rsidRPr="00664D4C" w:rsidRDefault="00664D4C" w:rsidP="00664D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64D4C">
              <w:rPr>
                <w:rFonts w:asciiTheme="minorHAnsi" w:hAnsiTheme="minorHAnsi" w:cs="Arial"/>
                <w:sz w:val="22"/>
                <w:szCs w:val="22"/>
              </w:rPr>
              <w:t>98</w:t>
            </w:r>
          </w:p>
        </w:tc>
      </w:tr>
      <w:tr w:rsidR="00664D4C" w:rsidRPr="00145A16" w:rsidTr="00664D4C">
        <w:trPr>
          <w:trHeight w:val="282"/>
          <w:jc w:val="center"/>
        </w:trPr>
        <w:tc>
          <w:tcPr>
            <w:tcW w:w="1243" w:type="dxa"/>
            <w:hideMark/>
          </w:tcPr>
          <w:p w:rsidR="00664D4C" w:rsidRPr="00664D4C" w:rsidRDefault="00664D4C" w:rsidP="00664D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64D4C">
              <w:rPr>
                <w:rFonts w:asciiTheme="minorHAnsi" w:hAnsiTheme="minorHAnsi" w:cs="Arial"/>
                <w:sz w:val="22"/>
                <w:szCs w:val="22"/>
              </w:rPr>
              <w:t>80</w:t>
            </w:r>
          </w:p>
        </w:tc>
        <w:tc>
          <w:tcPr>
            <w:tcW w:w="1243" w:type="dxa"/>
            <w:hideMark/>
          </w:tcPr>
          <w:p w:rsidR="00664D4C" w:rsidRPr="00664D4C" w:rsidRDefault="00664D4C" w:rsidP="00664D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64D4C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243" w:type="dxa"/>
            <w:hideMark/>
          </w:tcPr>
          <w:p w:rsidR="00664D4C" w:rsidRPr="00664D4C" w:rsidRDefault="00664D4C" w:rsidP="00664D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64D4C">
              <w:rPr>
                <w:rFonts w:asciiTheme="minorHAnsi" w:hAnsiTheme="minorHAnsi" w:cs="Arial"/>
                <w:sz w:val="22"/>
                <w:szCs w:val="22"/>
              </w:rPr>
              <w:t>98</w:t>
            </w:r>
          </w:p>
        </w:tc>
      </w:tr>
    </w:tbl>
    <w:p w:rsidR="00664D4C" w:rsidRDefault="00664D4C" w:rsidP="00664D4C">
      <w:pPr>
        <w:pStyle w:val="ListParagraph"/>
      </w:pPr>
    </w:p>
    <w:p w:rsidR="00664D4C" w:rsidRDefault="00DD5F94" w:rsidP="00664D4C">
      <w:pPr>
        <w:pStyle w:val="ListParagraph"/>
        <w:numPr>
          <w:ilvl w:val="0"/>
          <w:numId w:val="2"/>
        </w:numPr>
      </w:pPr>
      <w:r>
        <w:t>Wash the system with two acetonitrile/methanol wash injections.</w:t>
      </w:r>
    </w:p>
    <w:p w:rsidR="00DD5F94" w:rsidRDefault="00DD5F94" w:rsidP="00664D4C">
      <w:pPr>
        <w:pStyle w:val="ListParagraph"/>
        <w:numPr>
          <w:ilvl w:val="0"/>
          <w:numId w:val="2"/>
        </w:numPr>
      </w:pPr>
      <w:r>
        <w:t>Equilibrate the sample loop with an injection of a background matrix digest sample and two mobile</w:t>
      </w:r>
      <w:r w:rsidR="00CE4184">
        <w:t xml:space="preserve"> </w:t>
      </w:r>
      <w:proofErr w:type="gramStart"/>
      <w:r w:rsidR="00CE4184">
        <w:t>phase</w:t>
      </w:r>
      <w:proofErr w:type="gramEnd"/>
      <w:r>
        <w:t xml:space="preserve"> A solvent wash injections.</w:t>
      </w:r>
    </w:p>
    <w:p w:rsidR="00DD5F94" w:rsidRDefault="00DD5F94" w:rsidP="00664D4C">
      <w:pPr>
        <w:pStyle w:val="ListParagraph"/>
        <w:numPr>
          <w:ilvl w:val="0"/>
          <w:numId w:val="2"/>
        </w:numPr>
      </w:pPr>
      <w:r>
        <w:t>Assess system suitability with two PRTC QC injections prior to running all samples. Retention times must be stable (within 1 min</w:t>
      </w:r>
      <w:r w:rsidR="00CE4184">
        <w:t>ute</w:t>
      </w:r>
      <w:r>
        <w:t xml:space="preserve"> of each other) and peak shapes </w:t>
      </w:r>
      <w:r w:rsidR="00CE4184">
        <w:t>should have at most</w:t>
      </w:r>
      <w:r>
        <w:t xml:space="preserve"> minimal tailing or fronting. Peak widths should be &lt; 30-40s and </w:t>
      </w:r>
      <w:r w:rsidR="00CE4184">
        <w:t xml:space="preserve">be </w:t>
      </w:r>
      <w:r>
        <w:t xml:space="preserve">consistent. Peak intensity </w:t>
      </w:r>
      <w:r w:rsidR="00C92210">
        <w:t>should be within 25% of historical average.</w:t>
      </w:r>
    </w:p>
    <w:p w:rsidR="00C92210" w:rsidRDefault="00EC4A90" w:rsidP="00664D4C">
      <w:pPr>
        <w:pStyle w:val="ListParagraph"/>
        <w:numPr>
          <w:ilvl w:val="0"/>
          <w:numId w:val="2"/>
        </w:numPr>
      </w:pPr>
      <w:r>
        <w:t>Examine pressure trace to assess</w:t>
      </w:r>
      <w:r w:rsidR="00C92210">
        <w:t xml:space="preserve"> LC system. Pressure should not b</w:t>
      </w:r>
      <w:r>
        <w:t xml:space="preserve">e too high and should not </w:t>
      </w:r>
      <w:r w:rsidR="00C92210">
        <w:t xml:space="preserve">have abrupt changes </w:t>
      </w:r>
      <w:r>
        <w:t>except when</w:t>
      </w:r>
      <w:r w:rsidR="00C92210">
        <w:t xml:space="preserve"> valve switching and </w:t>
      </w:r>
      <w:r w:rsidR="00CE4184">
        <w:t xml:space="preserve">no </w:t>
      </w:r>
      <w:proofErr w:type="spellStart"/>
      <w:r w:rsidR="00CE4184">
        <w:t>signifincant</w:t>
      </w:r>
      <w:proofErr w:type="spellEnd"/>
      <w:r w:rsidR="00CE4184">
        <w:t xml:space="preserve"> changes in pressure, except during </w:t>
      </w:r>
      <w:r w:rsidR="00C92210">
        <w:t xml:space="preserve">the high mobile </w:t>
      </w:r>
      <w:r w:rsidR="00CE4184">
        <w:t xml:space="preserve">phase </w:t>
      </w:r>
      <w:r w:rsidR="00C92210">
        <w:t>B solvent wash and return to high mobile</w:t>
      </w:r>
      <w:r w:rsidR="00CE4184">
        <w:t xml:space="preserve"> phase</w:t>
      </w:r>
      <w:r w:rsidR="00C92210">
        <w:t xml:space="preserve"> </w:t>
      </w:r>
      <w:proofErr w:type="gramStart"/>
      <w:r w:rsidR="00C92210">
        <w:t>A</w:t>
      </w:r>
      <w:proofErr w:type="gramEnd"/>
      <w:r w:rsidR="00C92210">
        <w:t xml:space="preserve"> equilibration.</w:t>
      </w:r>
    </w:p>
    <w:p w:rsidR="00C92210" w:rsidRDefault="00C92210" w:rsidP="00664D4C">
      <w:pPr>
        <w:pStyle w:val="ListParagraph"/>
        <w:numPr>
          <w:ilvl w:val="0"/>
          <w:numId w:val="2"/>
        </w:numPr>
      </w:pPr>
      <w:r>
        <w:t xml:space="preserve">If system suitability is not acceptable, perform routine instrument maintenance. </w:t>
      </w:r>
    </w:p>
    <w:p w:rsidR="00C92210" w:rsidRDefault="00C92210" w:rsidP="00664D4C">
      <w:pPr>
        <w:pStyle w:val="ListParagraph"/>
        <w:numPr>
          <w:ilvl w:val="0"/>
          <w:numId w:val="2"/>
        </w:numPr>
      </w:pPr>
      <w:r>
        <w:t>If retention times have changed, export a new transition list from Skyline</w:t>
      </w:r>
      <w:r w:rsidR="00CE4184">
        <w:t xml:space="preserve"> to adjust the expected times for peak detection</w:t>
      </w:r>
      <w:r>
        <w:t>.</w:t>
      </w:r>
    </w:p>
    <w:p w:rsidR="00DD5F94" w:rsidRDefault="00DD5F94" w:rsidP="00664D4C">
      <w:pPr>
        <w:pStyle w:val="ListParagraph"/>
        <w:numPr>
          <w:ilvl w:val="0"/>
          <w:numId w:val="2"/>
        </w:numPr>
      </w:pPr>
      <w:r>
        <w:t>Prepare the method with scheduled windows using Skyline and export the transition list.</w:t>
      </w:r>
    </w:p>
    <w:p w:rsidR="00CE4184" w:rsidRDefault="00DD5F94" w:rsidP="00664D4C">
      <w:pPr>
        <w:pStyle w:val="ListParagraph"/>
        <w:numPr>
          <w:ilvl w:val="0"/>
          <w:numId w:val="2"/>
        </w:numPr>
      </w:pPr>
      <w:r>
        <w:t xml:space="preserve">Add transition list to the LC-MRM method using </w:t>
      </w:r>
      <w:proofErr w:type="spellStart"/>
      <w:r>
        <w:t>Xcalibur</w:t>
      </w:r>
      <w:proofErr w:type="spellEnd"/>
      <w:r>
        <w:t>.</w:t>
      </w:r>
    </w:p>
    <w:p w:rsidR="00CE4184" w:rsidRDefault="00CE4184" w:rsidP="00CE4184">
      <w:pPr>
        <w:rPr>
          <w:sz w:val="22"/>
          <w:szCs w:val="22"/>
        </w:rPr>
      </w:pPr>
      <w:r>
        <w:br w:type="page"/>
      </w:r>
    </w:p>
    <w:p w:rsidR="00DD5F94" w:rsidRDefault="00DD5F94" w:rsidP="00664D4C">
      <w:pPr>
        <w:pStyle w:val="ListParagraph"/>
        <w:numPr>
          <w:ilvl w:val="0"/>
          <w:numId w:val="2"/>
        </w:numPr>
      </w:pPr>
      <w:r>
        <w:lastRenderedPageBreak/>
        <w:t>Use the following MS parameters in the LC-MRM method:</w:t>
      </w:r>
    </w:p>
    <w:tbl>
      <w:tblPr>
        <w:tblStyle w:val="TableGrid"/>
        <w:tblW w:w="6228" w:type="dxa"/>
        <w:tblLook w:val="04A0" w:firstRow="1" w:lastRow="0" w:firstColumn="1" w:lastColumn="0" w:noHBand="0" w:noVBand="1"/>
      </w:tblPr>
      <w:tblGrid>
        <w:gridCol w:w="2538"/>
        <w:gridCol w:w="3690"/>
      </w:tblGrid>
      <w:tr w:rsidR="00DD5F94" w:rsidRPr="00145A16" w:rsidTr="00DD5F94">
        <w:trPr>
          <w:trHeight w:val="283"/>
        </w:trPr>
        <w:tc>
          <w:tcPr>
            <w:tcW w:w="2538" w:type="dxa"/>
          </w:tcPr>
          <w:p w:rsidR="00DD5F94" w:rsidRPr="00145A16" w:rsidRDefault="00DD5F94" w:rsidP="00AC4BDF">
            <w:pPr>
              <w:rPr>
                <w:rFonts w:ascii="Arial" w:hAnsi="Arial" w:cs="Arial"/>
              </w:rPr>
            </w:pPr>
            <w:r w:rsidRPr="00145A16">
              <w:rPr>
                <w:rFonts w:ascii="Arial" w:hAnsi="Arial" w:cs="Arial"/>
              </w:rPr>
              <w:t>MS Resolution</w:t>
            </w:r>
          </w:p>
        </w:tc>
        <w:tc>
          <w:tcPr>
            <w:tcW w:w="3690" w:type="dxa"/>
          </w:tcPr>
          <w:p w:rsidR="00DD5F94" w:rsidRPr="00145A16" w:rsidRDefault="00DD5F94" w:rsidP="00AC4BDF">
            <w:pPr>
              <w:rPr>
                <w:rFonts w:ascii="Arial" w:hAnsi="Arial" w:cs="Arial"/>
              </w:rPr>
            </w:pPr>
            <w:r w:rsidRPr="00145A16">
              <w:rPr>
                <w:rFonts w:ascii="Arial" w:hAnsi="Arial" w:cs="Arial"/>
              </w:rPr>
              <w:t>Q1: 0.4, Q3: 0.7</w:t>
            </w:r>
          </w:p>
        </w:tc>
      </w:tr>
      <w:tr w:rsidR="00DD5F94" w:rsidRPr="00145A16" w:rsidTr="00DD5F94">
        <w:trPr>
          <w:trHeight w:val="283"/>
        </w:trPr>
        <w:tc>
          <w:tcPr>
            <w:tcW w:w="2538" w:type="dxa"/>
          </w:tcPr>
          <w:p w:rsidR="00DD5F94" w:rsidRPr="00145A16" w:rsidRDefault="00DD5F94" w:rsidP="00DD5F94">
            <w:pPr>
              <w:rPr>
                <w:rFonts w:ascii="Arial" w:hAnsi="Arial" w:cs="Arial"/>
              </w:rPr>
            </w:pPr>
            <w:r w:rsidRPr="00145A16">
              <w:rPr>
                <w:rFonts w:ascii="Arial" w:hAnsi="Arial" w:cs="Arial"/>
              </w:rPr>
              <w:t xml:space="preserve">MS Spray </w:t>
            </w:r>
            <w:r>
              <w:rPr>
                <w:rFonts w:ascii="Arial" w:hAnsi="Arial" w:cs="Arial"/>
              </w:rPr>
              <w:t>Voltage</w:t>
            </w:r>
          </w:p>
        </w:tc>
        <w:tc>
          <w:tcPr>
            <w:tcW w:w="3690" w:type="dxa"/>
          </w:tcPr>
          <w:p w:rsidR="00DD5F94" w:rsidRPr="00145A16" w:rsidRDefault="00DD5F94" w:rsidP="00DD5F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2200 V</w:t>
            </w:r>
          </w:p>
        </w:tc>
      </w:tr>
      <w:tr w:rsidR="00DD5F94" w:rsidRPr="00145A16" w:rsidTr="00DD5F94">
        <w:trPr>
          <w:trHeight w:val="349"/>
        </w:trPr>
        <w:tc>
          <w:tcPr>
            <w:tcW w:w="2538" w:type="dxa"/>
          </w:tcPr>
          <w:p w:rsidR="00DD5F94" w:rsidRPr="00145A16" w:rsidRDefault="00DD5F94" w:rsidP="00AC4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 Tube Temp</w:t>
            </w:r>
          </w:p>
        </w:tc>
        <w:tc>
          <w:tcPr>
            <w:tcW w:w="3690" w:type="dxa"/>
          </w:tcPr>
          <w:p w:rsidR="00DD5F94" w:rsidRPr="00145A16" w:rsidRDefault="00DD5F94" w:rsidP="00AC4BDF">
            <w:pPr>
              <w:rPr>
                <w:rFonts w:ascii="Arial" w:hAnsi="Arial" w:cs="Arial"/>
              </w:rPr>
            </w:pPr>
            <w:r w:rsidRPr="00145A16">
              <w:rPr>
                <w:rFonts w:ascii="Arial" w:hAnsi="Arial" w:cs="Arial"/>
              </w:rPr>
              <w:t>Transfer tube 275° C</w:t>
            </w:r>
          </w:p>
        </w:tc>
      </w:tr>
      <w:tr w:rsidR="00DD5F94" w:rsidRPr="00145A16" w:rsidTr="00DD5F94">
        <w:trPr>
          <w:trHeight w:val="349"/>
        </w:trPr>
        <w:tc>
          <w:tcPr>
            <w:tcW w:w="2538" w:type="dxa"/>
          </w:tcPr>
          <w:p w:rsidR="00DD5F94" w:rsidRPr="00145A16" w:rsidRDefault="00DD5F94" w:rsidP="00AC4BDF">
            <w:pPr>
              <w:rPr>
                <w:rFonts w:ascii="Arial" w:hAnsi="Arial" w:cs="Arial"/>
              </w:rPr>
            </w:pPr>
            <w:r w:rsidRPr="00145A16">
              <w:rPr>
                <w:rFonts w:ascii="Arial" w:hAnsi="Arial" w:cs="Arial"/>
              </w:rPr>
              <w:t>CID Gas</w:t>
            </w:r>
          </w:p>
        </w:tc>
        <w:tc>
          <w:tcPr>
            <w:tcW w:w="3690" w:type="dxa"/>
          </w:tcPr>
          <w:p w:rsidR="00DD5F94" w:rsidRPr="00145A16" w:rsidRDefault="00DD5F94" w:rsidP="00AC4BDF">
            <w:pPr>
              <w:rPr>
                <w:rFonts w:ascii="Arial" w:hAnsi="Arial" w:cs="Arial"/>
              </w:rPr>
            </w:pPr>
            <w:r w:rsidRPr="00145A16">
              <w:rPr>
                <w:rFonts w:ascii="Arial" w:hAnsi="Arial" w:cs="Arial"/>
              </w:rPr>
              <w:t xml:space="preserve">2 </w:t>
            </w:r>
            <w:proofErr w:type="spellStart"/>
            <w:r w:rsidRPr="00145A16">
              <w:rPr>
                <w:rFonts w:ascii="Arial" w:hAnsi="Arial" w:cs="Arial"/>
              </w:rPr>
              <w:t>mTorr</w:t>
            </w:r>
            <w:proofErr w:type="spellEnd"/>
          </w:p>
        </w:tc>
      </w:tr>
      <w:tr w:rsidR="00DD5F94" w:rsidRPr="00145A16" w:rsidTr="00DD5F94">
        <w:trPr>
          <w:trHeight w:val="299"/>
        </w:trPr>
        <w:tc>
          <w:tcPr>
            <w:tcW w:w="2538" w:type="dxa"/>
          </w:tcPr>
          <w:p w:rsidR="00DD5F94" w:rsidRPr="00145A16" w:rsidRDefault="00DD5F94" w:rsidP="00AC4BDF">
            <w:pPr>
              <w:rPr>
                <w:rFonts w:ascii="Arial" w:hAnsi="Arial" w:cs="Arial"/>
              </w:rPr>
            </w:pPr>
            <w:r w:rsidRPr="00145A16">
              <w:rPr>
                <w:rFonts w:ascii="Arial" w:hAnsi="Arial" w:cs="Arial"/>
              </w:rPr>
              <w:t>Dwell time</w:t>
            </w:r>
          </w:p>
        </w:tc>
        <w:tc>
          <w:tcPr>
            <w:tcW w:w="3690" w:type="dxa"/>
          </w:tcPr>
          <w:p w:rsidR="00DD5F94" w:rsidRPr="00145A16" w:rsidRDefault="00A80262" w:rsidP="00AC4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14-24</w:t>
            </w:r>
            <w:r w:rsidR="00DD5F94" w:rsidRPr="00145A16">
              <w:rPr>
                <w:rFonts w:ascii="Arial" w:hAnsi="Arial" w:cs="Arial"/>
              </w:rPr>
              <w:t xml:space="preserve"> ms</w:t>
            </w:r>
            <w:r>
              <w:rPr>
                <w:rFonts w:ascii="Arial" w:hAnsi="Arial" w:cs="Arial"/>
              </w:rPr>
              <w:t xml:space="preserve"> (varied)</w:t>
            </w:r>
          </w:p>
        </w:tc>
      </w:tr>
    </w:tbl>
    <w:p w:rsidR="00DD5F94" w:rsidRDefault="00DD5F94" w:rsidP="00DD5F94"/>
    <w:p w:rsidR="00DD5F94" w:rsidRDefault="00C92210" w:rsidP="00664D4C">
      <w:pPr>
        <w:pStyle w:val="ListParagraph"/>
        <w:numPr>
          <w:ilvl w:val="0"/>
          <w:numId w:val="2"/>
        </w:numPr>
      </w:pPr>
      <w:r>
        <w:t xml:space="preserve">Blank injections are inserted </w:t>
      </w:r>
      <w:r w:rsidR="00A80262">
        <w:t>between</w:t>
      </w:r>
      <w:r>
        <w:t xml:space="preserve"> every sample to reduce carryover, particularly </w:t>
      </w:r>
      <w:r w:rsidR="00CE4184">
        <w:t>for</w:t>
      </w:r>
      <w:r>
        <w:t xml:space="preserve"> hydrophobic or other peptides bound strongly to the </w:t>
      </w:r>
      <w:r w:rsidR="00CE4184">
        <w:t>LC column packing material</w:t>
      </w:r>
      <w:r>
        <w:t>.</w:t>
      </w:r>
    </w:p>
    <w:p w:rsidR="00C92210" w:rsidRDefault="00C92210" w:rsidP="00C92210">
      <w:pPr>
        <w:pStyle w:val="ListParagraph"/>
        <w:numPr>
          <w:ilvl w:val="0"/>
          <w:numId w:val="2"/>
        </w:numPr>
      </w:pPr>
      <w:r>
        <w:t>Prepare a list of names using the following conventions:</w:t>
      </w:r>
    </w:p>
    <w:p w:rsidR="00C92210" w:rsidRDefault="00C92210" w:rsidP="00C92210">
      <w:pPr>
        <w:pStyle w:val="ListParagraph"/>
        <w:numPr>
          <w:ilvl w:val="1"/>
          <w:numId w:val="2"/>
        </w:numPr>
      </w:pPr>
      <w:proofErr w:type="spellStart"/>
      <w:r>
        <w:t>Date_Project_Experiment_Sample_Replicate</w:t>
      </w:r>
      <w:proofErr w:type="spellEnd"/>
    </w:p>
    <w:p w:rsidR="00C92210" w:rsidRDefault="00C92210" w:rsidP="00C92210">
      <w:pPr>
        <w:pStyle w:val="ListParagraph"/>
        <w:numPr>
          <w:ilvl w:val="1"/>
          <w:numId w:val="2"/>
        </w:numPr>
      </w:pPr>
      <w:r>
        <w:t>Experiment 1 Example: 020718_RAS-Unmod_F_1</w:t>
      </w:r>
    </w:p>
    <w:p w:rsidR="00C92210" w:rsidRDefault="00C92210" w:rsidP="00C92210">
      <w:pPr>
        <w:pStyle w:val="ListParagraph"/>
        <w:numPr>
          <w:ilvl w:val="1"/>
          <w:numId w:val="2"/>
        </w:numPr>
      </w:pPr>
      <w:r>
        <w:t>Experiment 2 Example: 020718_RAS-Unmod_E2_Med_D3</w:t>
      </w:r>
      <w:r w:rsidR="00A80262">
        <w:t>_R1</w:t>
      </w:r>
    </w:p>
    <w:p w:rsidR="00A80262" w:rsidRDefault="00A80262" w:rsidP="00A80262">
      <w:pPr>
        <w:pStyle w:val="ListParagraph"/>
        <w:numPr>
          <w:ilvl w:val="0"/>
          <w:numId w:val="2"/>
        </w:numPr>
      </w:pPr>
      <w:r>
        <w:t>Inject a matrix blank at the beginning and end of each calibration curve replicate sequence to generate a blank measurement and for carryover assessment.</w:t>
      </w:r>
    </w:p>
    <w:p w:rsidR="00A80262" w:rsidRDefault="00A80262" w:rsidP="00A80262">
      <w:pPr>
        <w:pStyle w:val="ListParagraph"/>
        <w:numPr>
          <w:ilvl w:val="0"/>
          <w:numId w:val="2"/>
        </w:numPr>
      </w:pPr>
      <w:r>
        <w:t xml:space="preserve">A high organic wash and </w:t>
      </w:r>
      <w:proofErr w:type="gramStart"/>
      <w:r>
        <w:t>A</w:t>
      </w:r>
      <w:proofErr w:type="gramEnd"/>
      <w:r>
        <w:t xml:space="preserve"> solvent wash are both injected after the carryover blank following high concentration samples (such as the high curve concentration and high sample for repeatability. </w:t>
      </w:r>
    </w:p>
    <w:p w:rsidR="00A80262" w:rsidRDefault="00A80262" w:rsidP="00A80262">
      <w:pPr>
        <w:pStyle w:val="ListParagraph"/>
        <w:numPr>
          <w:ilvl w:val="0"/>
          <w:numId w:val="2"/>
        </w:numPr>
      </w:pPr>
      <w:r>
        <w:t>Randomize the sample order of the repeatability experiment to simulate real samples with varying concentrations of endogenous analytes.</w:t>
      </w:r>
    </w:p>
    <w:p w:rsidR="00A80262" w:rsidRPr="00A80262" w:rsidRDefault="00A80262" w:rsidP="00A80262">
      <w:pPr>
        <w:rPr>
          <w:b/>
        </w:rPr>
      </w:pPr>
      <w:r>
        <w:rPr>
          <w:b/>
        </w:rPr>
        <w:t>Skyline Data Processing</w:t>
      </w:r>
    </w:p>
    <w:p w:rsidR="00A80262" w:rsidRDefault="00A80262" w:rsidP="00A80262">
      <w:pPr>
        <w:pStyle w:val="ListParagraph"/>
        <w:numPr>
          <w:ilvl w:val="0"/>
          <w:numId w:val="2"/>
        </w:numPr>
      </w:pPr>
      <w:r>
        <w:t>Raw data is imported into the Skyline</w:t>
      </w:r>
      <w:r w:rsidR="00CE4184">
        <w:t xml:space="preserve"> (Reference 1)</w:t>
      </w:r>
      <w:r>
        <w:t xml:space="preserve"> document containing all monitored peptides for data processing.</w:t>
      </w:r>
    </w:p>
    <w:p w:rsidR="00A80262" w:rsidRDefault="00EC4A90" w:rsidP="00A80262">
      <w:pPr>
        <w:pStyle w:val="ListParagraph"/>
        <w:numPr>
          <w:ilvl w:val="0"/>
          <w:numId w:val="2"/>
        </w:numPr>
      </w:pPr>
      <w:r>
        <w:t>Annotations are specified by CPTAC assay portal instructions.</w:t>
      </w:r>
    </w:p>
    <w:p w:rsidR="00EC4A90" w:rsidRDefault="00EC4A90" w:rsidP="00EC4A90">
      <w:pPr>
        <w:pStyle w:val="ListParagraph"/>
        <w:numPr>
          <w:ilvl w:val="0"/>
          <w:numId w:val="2"/>
        </w:numPr>
      </w:pPr>
      <w:r>
        <w:t xml:space="preserve">Make sure peaks are not transformed. </w:t>
      </w:r>
    </w:p>
    <w:p w:rsidR="00EC4A90" w:rsidRDefault="00EC4A90" w:rsidP="00EC4A90">
      <w:pPr>
        <w:pStyle w:val="ListParagraph"/>
        <w:numPr>
          <w:ilvl w:val="0"/>
          <w:numId w:val="2"/>
        </w:numPr>
      </w:pPr>
      <w:r>
        <w:t xml:space="preserve">Pull down menu </w:t>
      </w:r>
      <w:r>
        <w:sym w:font="Wingdings" w:char="F0E0"/>
      </w:r>
      <w:r>
        <w:t xml:space="preserve"> View </w:t>
      </w:r>
      <w:r>
        <w:sym w:font="Wingdings" w:char="F0E0"/>
      </w:r>
      <w:r>
        <w:t xml:space="preserve"> Transform. Select either none or interpolated.</w:t>
      </w:r>
    </w:p>
    <w:p w:rsidR="00EC4A90" w:rsidRPr="00EC4A90" w:rsidRDefault="00EC4A90" w:rsidP="00EC4A90">
      <w:pPr>
        <w:pStyle w:val="ListParagraph"/>
        <w:numPr>
          <w:ilvl w:val="0"/>
          <w:numId w:val="2"/>
        </w:numPr>
      </w:pPr>
      <w:r w:rsidRPr="00EC4A90">
        <w:t>After all annotations are completed as specified, add the Peak Areas – Replicate Comparison View.  (F7)</w:t>
      </w:r>
    </w:p>
    <w:p w:rsidR="00EC4A90" w:rsidRDefault="00EC4A90" w:rsidP="00EC4A90">
      <w:pPr>
        <w:pStyle w:val="ListParagraph"/>
        <w:numPr>
          <w:ilvl w:val="0"/>
          <w:numId w:val="2"/>
        </w:numPr>
      </w:pPr>
      <w:r>
        <w:t>Prepare the peak areas view settings to facilitate easy data review.</w:t>
      </w:r>
    </w:p>
    <w:p w:rsidR="00EC4A90" w:rsidRDefault="00EC4A90" w:rsidP="00EC4A90">
      <w:pPr>
        <w:pStyle w:val="ListParagraph"/>
        <w:numPr>
          <w:ilvl w:val="1"/>
          <w:numId w:val="2"/>
        </w:numPr>
      </w:pPr>
      <w:r>
        <w:t xml:space="preserve">Right click </w:t>
      </w:r>
      <w:r>
        <w:sym w:font="Wingdings" w:char="F0E0"/>
      </w:r>
      <w:r>
        <w:t xml:space="preserve"> Transitions </w:t>
      </w:r>
      <w:r>
        <w:sym w:font="Wingdings" w:char="F0E0"/>
      </w:r>
      <w:r>
        <w:t xml:space="preserve"> Single </w:t>
      </w:r>
    </w:p>
    <w:p w:rsidR="00EC4A90" w:rsidRDefault="00EC4A90" w:rsidP="00EC4A90">
      <w:pPr>
        <w:pStyle w:val="ListParagraph"/>
        <w:numPr>
          <w:ilvl w:val="1"/>
          <w:numId w:val="2"/>
        </w:numPr>
      </w:pPr>
      <w:r>
        <w:t xml:space="preserve">Right click </w:t>
      </w:r>
      <w:r>
        <w:sym w:font="Wingdings" w:char="F0E0"/>
      </w:r>
      <w:r>
        <w:t xml:space="preserve"> Normalize To </w:t>
      </w:r>
      <w:r>
        <w:sym w:font="Wingdings" w:char="F0E0"/>
      </w:r>
      <w:r>
        <w:t xml:space="preserve"> Light</w:t>
      </w:r>
    </w:p>
    <w:p w:rsidR="00EC4A90" w:rsidRDefault="00EC4A90" w:rsidP="00EC4A90">
      <w:pPr>
        <w:pStyle w:val="ListParagraph"/>
        <w:numPr>
          <w:ilvl w:val="1"/>
          <w:numId w:val="2"/>
        </w:numPr>
      </w:pPr>
      <w:r>
        <w:t xml:space="preserve">Right click </w:t>
      </w:r>
      <w:r>
        <w:sym w:font="Wingdings" w:char="F0E0"/>
      </w:r>
      <w:r>
        <w:t xml:space="preserve">Group By </w:t>
      </w:r>
      <w:r>
        <w:sym w:font="Wingdings" w:char="F0E0"/>
      </w:r>
      <w:proofErr w:type="spellStart"/>
      <w:r>
        <w:t>SampleGroup</w:t>
      </w:r>
      <w:proofErr w:type="spellEnd"/>
    </w:p>
    <w:p w:rsidR="00EC4A90" w:rsidRDefault="00EC4A90" w:rsidP="00EC4A90">
      <w:pPr>
        <w:pStyle w:val="ListParagraph"/>
        <w:numPr>
          <w:ilvl w:val="1"/>
          <w:numId w:val="2"/>
        </w:numPr>
      </w:pPr>
      <w:r>
        <w:t xml:space="preserve">Right click </w:t>
      </w:r>
      <w:r>
        <w:sym w:font="Wingdings" w:char="F0E0"/>
      </w:r>
      <w:r>
        <w:t xml:space="preserve"> CV Values</w:t>
      </w:r>
    </w:p>
    <w:p w:rsidR="00EC4A90" w:rsidRDefault="00EC4A90" w:rsidP="00EC4A90">
      <w:pPr>
        <w:pStyle w:val="ListParagraph"/>
        <w:numPr>
          <w:ilvl w:val="0"/>
          <w:numId w:val="2"/>
        </w:numPr>
      </w:pPr>
      <w:r>
        <w:t xml:space="preserve">CV values for data should be less than 20%. </w:t>
      </w:r>
    </w:p>
    <w:p w:rsidR="00EC4A90" w:rsidRDefault="00EC4A90" w:rsidP="00EC4A90">
      <w:pPr>
        <w:pStyle w:val="ListParagraph"/>
        <w:numPr>
          <w:ilvl w:val="1"/>
          <w:numId w:val="2"/>
        </w:numPr>
      </w:pPr>
      <w:r>
        <w:t xml:space="preserve">If </w:t>
      </w:r>
      <w:r w:rsidR="00CE4184">
        <w:t xml:space="preserve">the </w:t>
      </w:r>
      <w:r>
        <w:t>CV value is high</w:t>
      </w:r>
      <w:r w:rsidR="00CE4184">
        <w:t>er than 20%</w:t>
      </w:r>
      <w:r>
        <w:t>, investigate</w:t>
      </w:r>
      <w:r w:rsidR="00CE4184">
        <w:t xml:space="preserve"> the nature of the variation (</w:t>
      </w:r>
      <w:r w:rsidR="00CE4184" w:rsidRPr="00CE4184">
        <w:rPr>
          <w:i/>
        </w:rPr>
        <w:t>e.g.</w:t>
      </w:r>
      <w:r w:rsidR="00CE4184">
        <w:t xml:space="preserve"> poor signal or interference with light or SIS peptide)</w:t>
      </w:r>
      <w:r>
        <w:t xml:space="preserve">. </w:t>
      </w:r>
    </w:p>
    <w:p w:rsidR="00EC4A90" w:rsidRDefault="00EC4A90" w:rsidP="00EC4A90">
      <w:pPr>
        <w:pStyle w:val="ListParagraph"/>
        <w:numPr>
          <w:ilvl w:val="1"/>
          <w:numId w:val="2"/>
        </w:numPr>
      </w:pPr>
      <w:r>
        <w:t xml:space="preserve">Click on the bar graph to cycle through each file within each group. </w:t>
      </w:r>
    </w:p>
    <w:p w:rsidR="00EC4A90" w:rsidRDefault="00EC4A90" w:rsidP="00EC4A90">
      <w:pPr>
        <w:pStyle w:val="ListParagraph"/>
        <w:numPr>
          <w:ilvl w:val="1"/>
          <w:numId w:val="2"/>
        </w:numPr>
      </w:pPr>
      <w:r>
        <w:t>Make sure the window selected the entire peptide</w:t>
      </w:r>
      <w:r w:rsidR="00CE4184">
        <w:t xml:space="preserve"> peak</w:t>
      </w:r>
      <w:r>
        <w:t xml:space="preserve">, </w:t>
      </w:r>
      <w:r w:rsidR="00CE4184">
        <w:t xml:space="preserve">adjust as necessary or </w:t>
      </w:r>
      <w:r>
        <w:t>narrow</w:t>
      </w:r>
      <w:r w:rsidR="00CE4184">
        <w:t xml:space="preserve"> the selection</w:t>
      </w:r>
      <w:r>
        <w:t xml:space="preserve"> if there are interfering transitions.</w:t>
      </w:r>
    </w:p>
    <w:p w:rsidR="00EC4A90" w:rsidRPr="00EC4A90" w:rsidRDefault="00EC4A90" w:rsidP="00EC4A90">
      <w:pPr>
        <w:pStyle w:val="ListParagraph"/>
        <w:numPr>
          <w:ilvl w:val="0"/>
          <w:numId w:val="2"/>
        </w:numPr>
      </w:pPr>
      <w:r w:rsidRPr="00EC4A90">
        <w:t>Force integration of blank values. (Drag while clicking the mouse under the peak, or select a transition and click the RT number.</w:t>
      </w:r>
    </w:p>
    <w:p w:rsidR="00EC4A90" w:rsidRPr="00EC4A90" w:rsidRDefault="00EC4A90" w:rsidP="00EC4A90">
      <w:pPr>
        <w:pStyle w:val="ListParagraph"/>
        <w:numPr>
          <w:ilvl w:val="0"/>
          <w:numId w:val="2"/>
        </w:numPr>
      </w:pPr>
      <w:r w:rsidRPr="00EC4A90">
        <w:lastRenderedPageBreak/>
        <w:t>Click on the precursor to see individual fragment CVs. If one stands out as a poor performer across the board, fix or remove.</w:t>
      </w:r>
    </w:p>
    <w:p w:rsidR="00EC4A90" w:rsidRDefault="00EC4A90" w:rsidP="00EC4A90">
      <w:pPr>
        <w:pStyle w:val="ListParagraph"/>
        <w:numPr>
          <w:ilvl w:val="0"/>
          <w:numId w:val="2"/>
        </w:numPr>
      </w:pPr>
      <w:r w:rsidRPr="00EC4A90">
        <w:t>Check the ratios for each fragment. If there is a transition that has a vastly different ratio than the others, fix or remove.</w:t>
      </w:r>
    </w:p>
    <w:p w:rsidR="00AB3A4B" w:rsidRDefault="00EC4A90" w:rsidP="00AB3A4B">
      <w:pPr>
        <w:pStyle w:val="ListParagraph"/>
        <w:numPr>
          <w:ilvl w:val="0"/>
          <w:numId w:val="2"/>
        </w:numPr>
      </w:pPr>
      <w:r w:rsidRPr="00EC4A90">
        <w:t>Save as with new file name.</w:t>
      </w:r>
      <w:r>
        <w:t xml:space="preserve"> </w:t>
      </w:r>
      <w:r w:rsidR="0070691F">
        <w:t xml:space="preserve"> The d</w:t>
      </w:r>
      <w:bookmarkStart w:id="0" w:name="_GoBack"/>
      <w:bookmarkEnd w:id="0"/>
      <w:r>
        <w:t>ocument is ready to be uploaded and shared.</w:t>
      </w:r>
    </w:p>
    <w:p w:rsidR="00AB3A4B" w:rsidRDefault="00AB3A4B" w:rsidP="00AB3A4B">
      <w:pPr>
        <w:pStyle w:val="Heading1"/>
      </w:pPr>
      <w:r>
        <w:t>Referenced Documents</w:t>
      </w:r>
    </w:p>
    <w:p w:rsidR="00CE4184" w:rsidRPr="00CE4184" w:rsidRDefault="00CE4184" w:rsidP="00CE4184">
      <w:pPr>
        <w:shd w:val="clear" w:color="auto" w:fill="FFFFFF"/>
        <w:rPr>
          <w:rFonts w:ascii="Arial" w:eastAsia="Times New Roman" w:hAnsi="Arial" w:cs="Arial"/>
          <w:sz w:val="20"/>
          <w:szCs w:val="20"/>
          <w:lang w:val="en"/>
        </w:rPr>
      </w:pPr>
      <w:r>
        <w:t xml:space="preserve"> </w:t>
      </w:r>
      <w:r>
        <w:t xml:space="preserve">MacLean B, </w:t>
      </w:r>
      <w:proofErr w:type="spellStart"/>
      <w:r>
        <w:t>Tomazela</w:t>
      </w:r>
      <w:proofErr w:type="spellEnd"/>
      <w:r>
        <w:t xml:space="preserve"> DM, Shulman N, Chambers M, Finney GL, </w:t>
      </w:r>
      <w:proofErr w:type="spellStart"/>
      <w:r>
        <w:t>Frewen</w:t>
      </w:r>
      <w:proofErr w:type="spellEnd"/>
      <w:r>
        <w:t xml:space="preserve"> B, Kern R, Tabb DL, Liebler DC, MacCoss MJ.</w:t>
      </w:r>
      <w:r>
        <w:t xml:space="preserve">  </w:t>
      </w:r>
      <w:r>
        <w:t>Skyline: an open source document editor for creating and analyzing targeted proteomics experiments.</w:t>
      </w:r>
      <w:r>
        <w:t xml:space="preserve">  </w:t>
      </w:r>
      <w:r w:rsidRPr="00CE4184">
        <w:rPr>
          <w:i/>
        </w:rPr>
        <w:t>Bioinformatics</w:t>
      </w:r>
      <w:r>
        <w:t xml:space="preserve"> </w:t>
      </w:r>
      <w:r w:rsidRPr="00CE4184">
        <w:rPr>
          <w:b/>
        </w:rPr>
        <w:t>2010</w:t>
      </w:r>
      <w:r>
        <w:t xml:space="preserve">, </w:t>
      </w:r>
      <w:r w:rsidRPr="00CE4184">
        <w:rPr>
          <w:i/>
        </w:rPr>
        <w:t>26</w:t>
      </w:r>
      <w:r>
        <w:t xml:space="preserve">, </w:t>
      </w:r>
      <w:r>
        <w:t xml:space="preserve">966-8. PMID: </w:t>
      </w:r>
      <w:proofErr w:type="gramStart"/>
      <w:r>
        <w:t>20147306</w:t>
      </w:r>
      <w:r>
        <w:t xml:space="preserve">  </w:t>
      </w:r>
      <w:r w:rsidRPr="00CE4184">
        <w:rPr>
          <w:rFonts w:ascii="Arial" w:eastAsia="Times New Roman" w:hAnsi="Arial" w:cs="Arial"/>
          <w:sz w:val="20"/>
          <w:szCs w:val="20"/>
          <w:lang w:val="en"/>
        </w:rPr>
        <w:t>PMCID</w:t>
      </w:r>
      <w:proofErr w:type="gramEnd"/>
      <w:r w:rsidRPr="00CE4184">
        <w:rPr>
          <w:rFonts w:ascii="Arial" w:eastAsia="Times New Roman" w:hAnsi="Arial" w:cs="Arial"/>
          <w:sz w:val="20"/>
          <w:szCs w:val="20"/>
          <w:lang w:val="en"/>
        </w:rPr>
        <w:t>:</w:t>
      </w:r>
      <w:hyperlink r:id="rId8" w:history="1">
        <w:r w:rsidRPr="00CE4184">
          <w:rPr>
            <w:rFonts w:ascii="Arial" w:eastAsia="Times New Roman" w:hAnsi="Arial" w:cs="Arial"/>
            <w:color w:val="2F4A8B"/>
            <w:sz w:val="20"/>
            <w:szCs w:val="20"/>
            <w:u w:val="single"/>
            <w:lang w:val="en"/>
          </w:rPr>
          <w:t>PMC2844992</w:t>
        </w:r>
      </w:hyperlink>
    </w:p>
    <w:p w:rsidR="00DF5811" w:rsidRDefault="00DF5811" w:rsidP="00CE4184">
      <w:pPr>
        <w:pStyle w:val="ListParagraph"/>
      </w:pPr>
    </w:p>
    <w:sectPr w:rsidR="00DF5811" w:rsidSect="00D83774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FCE" w:rsidRDefault="00BA6FCE" w:rsidP="00161086">
      <w:r>
        <w:separator/>
      </w:r>
    </w:p>
  </w:endnote>
  <w:endnote w:type="continuationSeparator" w:id="0">
    <w:p w:rsidR="00BA6FCE" w:rsidRDefault="00BA6FCE" w:rsidP="0016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4B" w:rsidRPr="00E258E9" w:rsidRDefault="00AB3A4B" w:rsidP="00AB3A4B">
    <w:pPr>
      <w:pStyle w:val="Footer"/>
      <w:rPr>
        <w:rFonts w:ascii="Arial" w:hAnsi="Arial" w:cs="Arial"/>
        <w:b/>
      </w:rPr>
    </w:pPr>
    <w:r w:rsidRPr="00E258E9">
      <w:rPr>
        <w:rFonts w:ascii="Arial" w:hAnsi="Arial" w:cs="Arial"/>
        <w:b/>
      </w:rPr>
      <w:t xml:space="preserve">Page </w:t>
    </w:r>
    <w:r w:rsidRPr="00E258E9">
      <w:rPr>
        <w:rStyle w:val="PageNumber"/>
        <w:rFonts w:ascii="Arial" w:hAnsi="Arial" w:cs="Arial"/>
        <w:b/>
      </w:rPr>
      <w:fldChar w:fldCharType="begin"/>
    </w:r>
    <w:r w:rsidRPr="00E258E9">
      <w:rPr>
        <w:rStyle w:val="PageNumber"/>
        <w:rFonts w:ascii="Arial" w:hAnsi="Arial" w:cs="Arial"/>
        <w:b/>
      </w:rPr>
      <w:instrText xml:space="preserve"> PAGE </w:instrText>
    </w:r>
    <w:r w:rsidRPr="00E258E9">
      <w:rPr>
        <w:rStyle w:val="PageNumber"/>
        <w:rFonts w:ascii="Arial" w:hAnsi="Arial" w:cs="Arial"/>
        <w:b/>
      </w:rPr>
      <w:fldChar w:fldCharType="separate"/>
    </w:r>
    <w:r w:rsidR="0070691F">
      <w:rPr>
        <w:rStyle w:val="PageNumber"/>
        <w:rFonts w:ascii="Arial" w:hAnsi="Arial" w:cs="Arial"/>
        <w:b/>
        <w:noProof/>
      </w:rPr>
      <w:t>1</w:t>
    </w:r>
    <w:r w:rsidRPr="00E258E9">
      <w:rPr>
        <w:rStyle w:val="PageNumber"/>
        <w:rFonts w:ascii="Arial" w:hAnsi="Arial" w:cs="Arial"/>
        <w:b/>
      </w:rPr>
      <w:fldChar w:fldCharType="end"/>
    </w:r>
    <w:r w:rsidRPr="00E258E9">
      <w:rPr>
        <w:rStyle w:val="PageNumber"/>
        <w:rFonts w:ascii="Arial" w:hAnsi="Arial" w:cs="Arial"/>
        <w:b/>
      </w:rPr>
      <w:t xml:space="preserve"> of </w:t>
    </w:r>
    <w:r w:rsidRPr="00E258E9">
      <w:rPr>
        <w:rStyle w:val="PageNumber"/>
        <w:rFonts w:ascii="Arial" w:hAnsi="Arial" w:cs="Arial"/>
        <w:b/>
      </w:rPr>
      <w:fldChar w:fldCharType="begin"/>
    </w:r>
    <w:r w:rsidRPr="00E258E9">
      <w:rPr>
        <w:rStyle w:val="PageNumber"/>
        <w:rFonts w:ascii="Arial" w:hAnsi="Arial" w:cs="Arial"/>
        <w:b/>
      </w:rPr>
      <w:instrText xml:space="preserve"> NUMPAGES </w:instrText>
    </w:r>
    <w:r w:rsidRPr="00E258E9">
      <w:rPr>
        <w:rStyle w:val="PageNumber"/>
        <w:rFonts w:ascii="Arial" w:hAnsi="Arial" w:cs="Arial"/>
        <w:b/>
      </w:rPr>
      <w:fldChar w:fldCharType="separate"/>
    </w:r>
    <w:r w:rsidR="0070691F">
      <w:rPr>
        <w:rStyle w:val="PageNumber"/>
        <w:rFonts w:ascii="Arial" w:hAnsi="Arial" w:cs="Arial"/>
        <w:b/>
        <w:noProof/>
      </w:rPr>
      <w:t>5</w:t>
    </w:r>
    <w:r w:rsidRPr="00E258E9">
      <w:rPr>
        <w:rStyle w:val="PageNumber"/>
        <w:rFonts w:ascii="Arial" w:hAnsi="Arial" w:cs="Arial"/>
        <w:b/>
      </w:rPr>
      <w:fldChar w:fldCharType="end"/>
    </w:r>
  </w:p>
  <w:p w:rsidR="00161086" w:rsidRDefault="00161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FCE" w:rsidRDefault="00BA6FCE" w:rsidP="00161086">
      <w:r>
        <w:separator/>
      </w:r>
    </w:p>
  </w:footnote>
  <w:footnote w:type="continuationSeparator" w:id="0">
    <w:p w:rsidR="00BA6FCE" w:rsidRDefault="00BA6FCE" w:rsidP="0016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86" w:rsidRDefault="007069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86" w:rsidRDefault="007069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86" w:rsidRDefault="007069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DD1"/>
    <w:multiLevelType w:val="hybridMultilevel"/>
    <w:tmpl w:val="3034A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D19CA"/>
    <w:multiLevelType w:val="hybridMultilevel"/>
    <w:tmpl w:val="692C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23D6A"/>
    <w:multiLevelType w:val="hybridMultilevel"/>
    <w:tmpl w:val="B7EC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86"/>
    <w:rsid w:val="00161086"/>
    <w:rsid w:val="0047648F"/>
    <w:rsid w:val="005566DF"/>
    <w:rsid w:val="00664D4C"/>
    <w:rsid w:val="0070691F"/>
    <w:rsid w:val="00A2609F"/>
    <w:rsid w:val="00A80262"/>
    <w:rsid w:val="00AB3A4B"/>
    <w:rsid w:val="00BA6FCE"/>
    <w:rsid w:val="00C92210"/>
    <w:rsid w:val="00CE4184"/>
    <w:rsid w:val="00D83774"/>
    <w:rsid w:val="00DD5F94"/>
    <w:rsid w:val="00DF5811"/>
    <w:rsid w:val="00EC4A90"/>
    <w:rsid w:val="00F9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A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161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086"/>
  </w:style>
  <w:style w:type="paragraph" w:styleId="Footer">
    <w:name w:val="footer"/>
    <w:basedOn w:val="Normal"/>
    <w:link w:val="FooterChar"/>
    <w:uiPriority w:val="99"/>
    <w:unhideWhenUsed/>
    <w:rsid w:val="00161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086"/>
  </w:style>
  <w:style w:type="character" w:customStyle="1" w:styleId="Heading1Char">
    <w:name w:val="Heading 1 Char"/>
    <w:basedOn w:val="DefaultParagraphFont"/>
    <w:link w:val="Heading1"/>
    <w:uiPriority w:val="9"/>
    <w:rsid w:val="00AB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A4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B3A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B3A4B"/>
    <w:rPr>
      <w:b/>
      <w:bCs/>
    </w:rPr>
  </w:style>
  <w:style w:type="character" w:styleId="PageNumber">
    <w:name w:val="page number"/>
    <w:basedOn w:val="DefaultParagraphFont"/>
    <w:rsid w:val="00AB3A4B"/>
  </w:style>
  <w:style w:type="table" w:styleId="LightGrid">
    <w:name w:val="Light Grid"/>
    <w:basedOn w:val="TableNormal"/>
    <w:uiPriority w:val="62"/>
    <w:unhideWhenUsed/>
    <w:rsid w:val="00664D4C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DD5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A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161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086"/>
  </w:style>
  <w:style w:type="paragraph" w:styleId="Footer">
    <w:name w:val="footer"/>
    <w:basedOn w:val="Normal"/>
    <w:link w:val="FooterChar"/>
    <w:uiPriority w:val="99"/>
    <w:unhideWhenUsed/>
    <w:rsid w:val="00161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086"/>
  </w:style>
  <w:style w:type="character" w:customStyle="1" w:styleId="Heading1Char">
    <w:name w:val="Heading 1 Char"/>
    <w:basedOn w:val="DefaultParagraphFont"/>
    <w:link w:val="Heading1"/>
    <w:uiPriority w:val="9"/>
    <w:rsid w:val="00AB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A4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B3A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B3A4B"/>
    <w:rPr>
      <w:b/>
      <w:bCs/>
    </w:rPr>
  </w:style>
  <w:style w:type="character" w:styleId="PageNumber">
    <w:name w:val="page number"/>
    <w:basedOn w:val="DefaultParagraphFont"/>
    <w:rsid w:val="00AB3A4B"/>
  </w:style>
  <w:style w:type="table" w:styleId="LightGrid">
    <w:name w:val="Light Grid"/>
    <w:basedOn w:val="TableNormal"/>
    <w:uiPriority w:val="62"/>
    <w:unhideWhenUsed/>
    <w:rsid w:val="00664D4C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DD5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491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38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610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59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0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ncbi-nlm-nih-gov.ezproxy.lib.usf.edu/pmc/articles/PMC2844992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Rivers</dc:creator>
  <cp:lastModifiedBy>Koomen, John M.</cp:lastModifiedBy>
  <cp:revision>2</cp:revision>
  <dcterms:created xsi:type="dcterms:W3CDTF">2018-06-13T19:20:00Z</dcterms:created>
  <dcterms:modified xsi:type="dcterms:W3CDTF">2018-06-13T19:20:00Z</dcterms:modified>
</cp:coreProperties>
</file>