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AB3A4B" w:rsidRPr="00C46BA4" w14:paraId="41728545" w14:textId="77777777" w:rsidTr="00A61237">
        <w:tc>
          <w:tcPr>
            <w:tcW w:w="8856" w:type="dxa"/>
          </w:tcPr>
          <w:p w14:paraId="67E46E90" w14:textId="77777777" w:rsidR="00AB3A4B" w:rsidRPr="00C46BA4" w:rsidRDefault="00AB3A4B" w:rsidP="00A61237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14:paraId="1E10CB58" w14:textId="77777777" w:rsidTr="00A61237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2"/>
              <w:gridCol w:w="4202"/>
            </w:tblGrid>
            <w:tr w:rsidR="00AB3A4B" w:rsidRPr="00304744" w14:paraId="0E41CE2C" w14:textId="77777777" w:rsidTr="008D79E8">
              <w:trPr>
                <w:trHeight w:val="711"/>
              </w:trPr>
              <w:tc>
                <w:tcPr>
                  <w:tcW w:w="8414" w:type="dxa"/>
                  <w:gridSpan w:val="2"/>
                  <w:tcBorders>
                    <w:top w:val="single" w:sz="4" w:space="0" w:color="auto"/>
                  </w:tcBorders>
                </w:tcPr>
                <w:p w14:paraId="616F84AD" w14:textId="7590460D" w:rsidR="00AB3A4B" w:rsidRPr="007226F0" w:rsidRDefault="00AB3A4B" w:rsidP="00254059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5C339D">
                    <w:rPr>
                      <w:rStyle w:val="Strong"/>
                    </w:rPr>
                    <w:t>Peptide Immunoaffinity Enrichment</w:t>
                  </w:r>
                </w:p>
              </w:tc>
            </w:tr>
            <w:tr w:rsidR="00AB3A4B" w:rsidRPr="00304744" w14:paraId="6FE0D5C1" w14:textId="77777777" w:rsidTr="008D79E8">
              <w:trPr>
                <w:trHeight w:val="192"/>
              </w:trPr>
              <w:tc>
                <w:tcPr>
                  <w:tcW w:w="4212" w:type="dxa"/>
                </w:tcPr>
                <w:p w14:paraId="0D8F21FD" w14:textId="77777777" w:rsidR="00AB3A4B" w:rsidRPr="007226F0" w:rsidRDefault="00AB3A4B" w:rsidP="00A61237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202" w:type="dxa"/>
                </w:tcPr>
                <w:p w14:paraId="47179CA2" w14:textId="77777777" w:rsidR="00AB3A4B" w:rsidRPr="007226F0" w:rsidRDefault="00AB3A4B" w:rsidP="00A61237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14:paraId="36734B77" w14:textId="77777777" w:rsidTr="008D79E8">
              <w:trPr>
                <w:trHeight w:val="528"/>
              </w:trPr>
              <w:tc>
                <w:tcPr>
                  <w:tcW w:w="4212" w:type="dxa"/>
                </w:tcPr>
                <w:p w14:paraId="1F754454" w14:textId="18CA0A97" w:rsidR="00AB3A4B" w:rsidRPr="007226F0" w:rsidRDefault="00AB3A4B" w:rsidP="00A61237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8D79E8">
                    <w:rPr>
                      <w:rStyle w:val="Strong"/>
                    </w:rPr>
                    <w:t>2018</w:t>
                  </w:r>
                </w:p>
              </w:tc>
              <w:tc>
                <w:tcPr>
                  <w:tcW w:w="4202" w:type="dxa"/>
                </w:tcPr>
                <w:p w14:paraId="70CAFDB0" w14:textId="77777777" w:rsidR="00AB3A4B" w:rsidRPr="007226F0" w:rsidRDefault="00AB3A4B" w:rsidP="00A61237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254059">
                    <w:rPr>
                      <w:rStyle w:val="Strong"/>
                    </w:rPr>
                    <w:t>Paulovich Lab</w:t>
                  </w:r>
                </w:p>
              </w:tc>
            </w:tr>
          </w:tbl>
          <w:p w14:paraId="61734451" w14:textId="77777777" w:rsidR="00AB3A4B" w:rsidRPr="00C46BA4" w:rsidRDefault="00AB3A4B" w:rsidP="00A61237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14:paraId="0555A260" w14:textId="77777777" w:rsidR="00AB3A4B" w:rsidRDefault="00AB3A4B" w:rsidP="00AB3A4B"/>
    <w:p w14:paraId="4142E137" w14:textId="77777777" w:rsidR="00AB3A4B" w:rsidRDefault="00AB3A4B" w:rsidP="00AB3A4B">
      <w:pPr>
        <w:pStyle w:val="Heading1"/>
      </w:pPr>
      <w:r>
        <w:t>Purpose</w:t>
      </w:r>
    </w:p>
    <w:p w14:paraId="3DC6D87E" w14:textId="09CA4EE4" w:rsidR="00AB3A4B" w:rsidRDefault="00AB3A4B" w:rsidP="00AB3A4B">
      <w:r w:rsidRPr="00DD1682">
        <w:t>The purpose of this document is to</w:t>
      </w:r>
      <w:r>
        <w:t xml:space="preserve"> </w:t>
      </w:r>
      <w:r w:rsidR="00CD78D7">
        <w:t xml:space="preserve">describe </w:t>
      </w:r>
      <w:r w:rsidR="00913099">
        <w:t xml:space="preserve">the </w:t>
      </w:r>
      <w:r w:rsidR="005C339D">
        <w:t>enrichment of targeted peptides using monoclonal antibodies</w:t>
      </w:r>
      <w:r w:rsidR="00254059">
        <w:t>.</w:t>
      </w:r>
      <w:r w:rsidR="00BB1274">
        <w:t xml:space="preserve"> </w:t>
      </w:r>
    </w:p>
    <w:p w14:paraId="4404CDA3" w14:textId="77777777" w:rsidR="00AB3A4B" w:rsidRDefault="00AB3A4B" w:rsidP="00AB3A4B">
      <w:pPr>
        <w:pStyle w:val="Heading1"/>
      </w:pPr>
      <w:r>
        <w:t>Responsibilities</w:t>
      </w:r>
    </w:p>
    <w:p w14:paraId="0751C53A" w14:textId="77777777"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="00A17348">
        <w:t xml:space="preserve"> safety procedures. </w:t>
      </w:r>
      <w:r w:rsidRPr="00DD1682">
        <w:t>The interpretation of results must be done by a person trained in the procedure and fami</w:t>
      </w:r>
      <w:r w:rsidR="00A17348">
        <w:t>liar with such interpretation.</w:t>
      </w:r>
    </w:p>
    <w:p w14:paraId="2E22DC40" w14:textId="022583ED" w:rsidR="00AB3A4B" w:rsidRDefault="00AB3A4B" w:rsidP="00AB3A4B">
      <w:pPr>
        <w:pStyle w:val="Heading1"/>
      </w:pPr>
      <w:r>
        <w:t>Materials</w:t>
      </w:r>
      <w:r w:rsidR="00BB47E0">
        <w:t xml:space="preserve"> and Reagents</w:t>
      </w:r>
    </w:p>
    <w:p w14:paraId="767F4832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1 M Tris (pH 8.0), (Sigma, T2694)</w:t>
      </w:r>
    </w:p>
    <w:p w14:paraId="0C01A013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Water, HPLC grade (Fisher, W5-1)</w:t>
      </w:r>
    </w:p>
    <w:p w14:paraId="3566C0C2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Acetonitrile, HPLC grade (Fisher, A998-1)</w:t>
      </w:r>
    </w:p>
    <w:p w14:paraId="41FDB3BC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Formic Acid (EDM, 11670-1)</w:t>
      </w:r>
    </w:p>
    <w:p w14:paraId="3CE5044B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10 × PBS (</w:t>
      </w:r>
      <w:proofErr w:type="spellStart"/>
      <w:r>
        <w:t>ThermoFisher</w:t>
      </w:r>
      <w:proofErr w:type="spellEnd"/>
      <w:r>
        <w:t xml:space="preserve"> Scientific, BP39920)</w:t>
      </w:r>
    </w:p>
    <w:p w14:paraId="38E298A6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CHAPS (Thermo Scientific, 28300)</w:t>
      </w:r>
    </w:p>
    <w:p w14:paraId="6806E541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Acetic Acid, ACS reagent, ≥99.7% (Sigma, 242853)</w:t>
      </w:r>
    </w:p>
    <w:p w14:paraId="6B95DD5B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Citric Acid (</w:t>
      </w:r>
      <w:proofErr w:type="spellStart"/>
      <w:r>
        <w:t>Fluka</w:t>
      </w:r>
      <w:proofErr w:type="spellEnd"/>
      <w:r>
        <w:t>, Sigma, 94068)</w:t>
      </w:r>
    </w:p>
    <w:p w14:paraId="6F59D7BA" w14:textId="77777777" w:rsidR="005C339D" w:rsidRDefault="005C339D" w:rsidP="005C339D">
      <w:pPr>
        <w:pStyle w:val="ListParagraph"/>
        <w:numPr>
          <w:ilvl w:val="0"/>
          <w:numId w:val="1"/>
        </w:numPr>
      </w:pPr>
      <w:proofErr w:type="spellStart"/>
      <w:r>
        <w:t>KingFisher</w:t>
      </w:r>
      <w:proofErr w:type="spellEnd"/>
      <w:r>
        <w:t xml:space="preserve"> Magnetic Particle Processor</w:t>
      </w:r>
    </w:p>
    <w:p w14:paraId="64B5FB85" w14:textId="77777777" w:rsidR="005C339D" w:rsidRDefault="005C339D" w:rsidP="005C339D">
      <w:pPr>
        <w:pStyle w:val="ListParagraph"/>
        <w:numPr>
          <w:ilvl w:val="0"/>
          <w:numId w:val="1"/>
        </w:numPr>
      </w:pPr>
      <w:proofErr w:type="spellStart"/>
      <w:r>
        <w:t>KingFisher</w:t>
      </w:r>
      <w:proofErr w:type="spellEnd"/>
      <w:r>
        <w:t>, PCR 96 well head</w:t>
      </w:r>
    </w:p>
    <w:p w14:paraId="347F0E62" w14:textId="77777777" w:rsidR="005C339D" w:rsidRDefault="005C339D" w:rsidP="005C339D">
      <w:pPr>
        <w:pStyle w:val="ListParagraph"/>
        <w:numPr>
          <w:ilvl w:val="0"/>
          <w:numId w:val="1"/>
        </w:numPr>
      </w:pPr>
      <w:proofErr w:type="spellStart"/>
      <w:r>
        <w:t>Labquake</w:t>
      </w:r>
      <w:proofErr w:type="spellEnd"/>
      <w:r>
        <w:t xml:space="preserve"> tube rotator or shaker</w:t>
      </w:r>
    </w:p>
    <w:p w14:paraId="0957A31E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DynaMagTM-96 Side Skirted Magnet (12027, Life Technologies)</w:t>
      </w:r>
    </w:p>
    <w:p w14:paraId="02195D64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200 µL 96 well plates (</w:t>
      </w:r>
      <w:proofErr w:type="spellStart"/>
      <w:r>
        <w:t>ThermoFisher</w:t>
      </w:r>
      <w:proofErr w:type="spellEnd"/>
      <w:r>
        <w:t xml:space="preserve"> Scientific, 97002540</w:t>
      </w:r>
      <w:proofErr w:type="gramStart"/>
      <w:r>
        <w:t>) ;</w:t>
      </w:r>
      <w:proofErr w:type="gramEnd"/>
      <w:r>
        <w:t xml:space="preserve"> used for captures and washes</w:t>
      </w:r>
    </w:p>
    <w:p w14:paraId="22206E3E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Hard-Shell® Low-Profile Thin-Wall 96-Well Skirted PCR Plates (</w:t>
      </w:r>
      <w:proofErr w:type="spellStart"/>
      <w:r>
        <w:t>BioRad</w:t>
      </w:r>
      <w:proofErr w:type="spellEnd"/>
      <w:r>
        <w:t>, HSP-9601</w:t>
      </w:r>
      <w:proofErr w:type="gramStart"/>
      <w:r>
        <w:t>) ;</w:t>
      </w:r>
      <w:proofErr w:type="gramEnd"/>
      <w:r>
        <w:t xml:space="preserve"> used for elution plate</w:t>
      </w:r>
    </w:p>
    <w:p w14:paraId="5131FABF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 xml:space="preserve">Square Matrix </w:t>
      </w:r>
      <w:proofErr w:type="spellStart"/>
      <w:r>
        <w:t>CapMats</w:t>
      </w:r>
      <w:proofErr w:type="spellEnd"/>
      <w:r>
        <w:t xml:space="preserve"> For 2 mL blocks (</w:t>
      </w:r>
      <w:proofErr w:type="spellStart"/>
      <w:r>
        <w:t>ThermoFisher</w:t>
      </w:r>
      <w:proofErr w:type="spellEnd"/>
      <w:r>
        <w:t xml:space="preserve"> Scientific, 4421</w:t>
      </w:r>
      <w:proofErr w:type="gramStart"/>
      <w:r>
        <w:t>) ;</w:t>
      </w:r>
      <w:proofErr w:type="gramEnd"/>
      <w:r>
        <w:t xml:space="preserve"> a sealer for capture plates</w:t>
      </w:r>
    </w:p>
    <w:p w14:paraId="056D410A" w14:textId="77777777" w:rsidR="005C339D" w:rsidRDefault="005C339D" w:rsidP="005C339D">
      <w:pPr>
        <w:pStyle w:val="ListParagraph"/>
        <w:numPr>
          <w:ilvl w:val="0"/>
          <w:numId w:val="1"/>
        </w:numPr>
      </w:pPr>
      <w:proofErr w:type="spellStart"/>
      <w:r>
        <w:lastRenderedPageBreak/>
        <w:t>AdvantageTM</w:t>
      </w:r>
      <w:proofErr w:type="spellEnd"/>
      <w:r>
        <w:t xml:space="preserve"> Purple Framed 96 Square Well Pattern Teflon Sealing Film (Analytical, 961201</w:t>
      </w:r>
      <w:proofErr w:type="gramStart"/>
      <w:r>
        <w:t>) ;</w:t>
      </w:r>
      <w:proofErr w:type="gramEnd"/>
      <w:r>
        <w:t xml:space="preserve"> alternative sealer for capture plates</w:t>
      </w:r>
    </w:p>
    <w:p w14:paraId="4B64D355" w14:textId="77777777" w:rsidR="005C339D" w:rsidRDefault="005C339D" w:rsidP="005C339D">
      <w:pPr>
        <w:pStyle w:val="ListParagraph"/>
        <w:numPr>
          <w:ilvl w:val="0"/>
          <w:numId w:val="1"/>
        </w:numPr>
      </w:pPr>
      <w:proofErr w:type="spellStart"/>
      <w:r>
        <w:t>ThermalSeal</w:t>
      </w:r>
      <w:proofErr w:type="spellEnd"/>
      <w:r>
        <w:t xml:space="preserve">® PCR Sealing Film </w:t>
      </w:r>
    </w:p>
    <w:p w14:paraId="760C2E48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Chemically resistant sealing foil (</w:t>
      </w:r>
      <w:proofErr w:type="spellStart"/>
      <w:r>
        <w:t>BioExpress</w:t>
      </w:r>
      <w:proofErr w:type="spellEnd"/>
      <w:r>
        <w:t xml:space="preserve">, T-3025-8B), or </w:t>
      </w:r>
      <w:proofErr w:type="gramStart"/>
      <w:r>
        <w:t>equivalent ;</w:t>
      </w:r>
      <w:proofErr w:type="gramEnd"/>
      <w:r>
        <w:t xml:space="preserve"> for freezer storage</w:t>
      </w:r>
    </w:p>
    <w:p w14:paraId="4C586828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96-well Silicone Sealing Mat (</w:t>
      </w:r>
      <w:proofErr w:type="spellStart"/>
      <w:r>
        <w:t>Axygen</w:t>
      </w:r>
      <w:proofErr w:type="spellEnd"/>
      <w:r>
        <w:t xml:space="preserve"> Scientific, 22-513), or </w:t>
      </w:r>
      <w:proofErr w:type="gramStart"/>
      <w:r>
        <w:t>equivalent ;</w:t>
      </w:r>
      <w:proofErr w:type="gramEnd"/>
      <w:r>
        <w:t xml:space="preserve"> for autosampler</w:t>
      </w:r>
    </w:p>
    <w:p w14:paraId="4A3C55A8" w14:textId="7A57F78D" w:rsidR="00AB3A4B" w:rsidRDefault="00BB47E0" w:rsidP="00AB3A4B">
      <w:pPr>
        <w:pStyle w:val="Heading1"/>
      </w:pPr>
      <w:r>
        <w:t xml:space="preserve">Special </w:t>
      </w:r>
      <w:r w:rsidR="00AB3A4B">
        <w:t>Reagents</w:t>
      </w:r>
    </w:p>
    <w:p w14:paraId="5E9FE98D" w14:textId="53156A01" w:rsidR="00760142" w:rsidRPr="00760142" w:rsidRDefault="00D60E73" w:rsidP="002C4F9D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t>Rabbit-anti-human monoclonal antibodies</w:t>
      </w:r>
      <w:r w:rsidR="001A7BB3">
        <w:t xml:space="preserve"> (</w:t>
      </w:r>
      <w:proofErr w:type="spellStart"/>
      <w:r w:rsidR="001A7BB3">
        <w:t>m</w:t>
      </w:r>
      <w:r w:rsidR="00760142">
        <w:t>Abs</w:t>
      </w:r>
      <w:proofErr w:type="spellEnd"/>
      <w:r w:rsidR="00760142">
        <w:t>)</w:t>
      </w:r>
      <w:r w:rsidR="00293025">
        <w:t xml:space="preserve"> </w:t>
      </w:r>
      <w:proofErr w:type="spellStart"/>
      <w:r>
        <w:t>ustom</w:t>
      </w:r>
      <w:proofErr w:type="spellEnd"/>
      <w:r>
        <w:t xml:space="preserve">-generated to </w:t>
      </w:r>
      <w:r w:rsidR="009B4B8A">
        <w:t xml:space="preserve">the </w:t>
      </w:r>
      <w:r>
        <w:t xml:space="preserve">tryptic and </w:t>
      </w:r>
      <w:proofErr w:type="spellStart"/>
      <w:r>
        <w:t>proteotypic</w:t>
      </w:r>
      <w:proofErr w:type="spellEnd"/>
      <w:r>
        <w:t xml:space="preserve"> peptide targets</w:t>
      </w:r>
      <w:r w:rsidR="002C4F9D">
        <w:t xml:space="preserve"> and covalently coup</w:t>
      </w:r>
      <w:r w:rsidR="00293025">
        <w:t>led to magnetic Protein G beads.</w:t>
      </w:r>
      <w:r w:rsidR="00760142" w:rsidRPr="00760142">
        <w:t xml:space="preserve"> </w:t>
      </w:r>
    </w:p>
    <w:p w14:paraId="32FFFA34" w14:textId="77777777" w:rsidR="00AB3A4B" w:rsidRDefault="00AB3A4B" w:rsidP="00AB3A4B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14:paraId="3116CB09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 xml:space="preserve">1 × PBS / 0.01% CHAPS. May be made in advance and stored at room temp. </w:t>
      </w:r>
    </w:p>
    <w:p w14:paraId="5277E538" w14:textId="59BFCF73" w:rsidR="005C339D" w:rsidRDefault="009879DC" w:rsidP="005C339D">
      <w:pPr>
        <w:pStyle w:val="ListParagraph"/>
        <w:numPr>
          <w:ilvl w:val="1"/>
          <w:numId w:val="1"/>
        </w:numPr>
      </w:pPr>
      <w:r>
        <w:t>0.</w:t>
      </w:r>
      <w:r w:rsidR="005C339D">
        <w:t>5 g CHAPS in 10mL LCMS-grade water.</w:t>
      </w:r>
    </w:p>
    <w:p w14:paraId="5CA18416" w14:textId="77777777" w:rsidR="005C339D" w:rsidRDefault="005C339D" w:rsidP="005C339D">
      <w:pPr>
        <w:pStyle w:val="ListParagraph"/>
        <w:numPr>
          <w:ilvl w:val="1"/>
          <w:numId w:val="1"/>
        </w:numPr>
      </w:pPr>
      <w:r>
        <w:t>Add 100 mL of 10 × PBS and 2 mL of 5% CHAPS to LCMS-grade water, final volume 1L.</w:t>
      </w:r>
    </w:p>
    <w:p w14:paraId="3B552BAA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 xml:space="preserve">0.1 × PBS / 0.01% CHAPS. May be made in advance and stored at room temp. </w:t>
      </w:r>
    </w:p>
    <w:p w14:paraId="4D78F345" w14:textId="77777777" w:rsidR="005C339D" w:rsidRDefault="005C339D" w:rsidP="005C339D">
      <w:pPr>
        <w:pStyle w:val="ListParagraph"/>
        <w:numPr>
          <w:ilvl w:val="1"/>
          <w:numId w:val="1"/>
        </w:numPr>
      </w:pPr>
      <w:r>
        <w:t>Add 10 mL of 10 × PBS and 2mL of 5% CHAPS to LCMS-grade water, final volume 1L.</w:t>
      </w:r>
    </w:p>
    <w:p w14:paraId="34198817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5% acetic acid / 3% acetonitrile / 50 mM citrate:</w:t>
      </w:r>
    </w:p>
    <w:p w14:paraId="5286B505" w14:textId="77777777" w:rsidR="005C339D" w:rsidRDefault="005C339D" w:rsidP="005C339D">
      <w:pPr>
        <w:pStyle w:val="ListParagraph"/>
        <w:numPr>
          <w:ilvl w:val="1"/>
          <w:numId w:val="1"/>
        </w:numPr>
      </w:pPr>
      <w:r>
        <w:t>Dissolve 8.4 g citric acid monohydrate in 200 mL of LCMS-grade water to make 200 mM citrate.</w:t>
      </w:r>
    </w:p>
    <w:p w14:paraId="14DB526B" w14:textId="77777777" w:rsidR="005C339D" w:rsidRDefault="005C339D" w:rsidP="005C339D">
      <w:pPr>
        <w:pStyle w:val="ListParagraph"/>
        <w:numPr>
          <w:ilvl w:val="1"/>
          <w:numId w:val="1"/>
        </w:numPr>
      </w:pPr>
      <w:r>
        <w:t>Mix 3.0 mL LCMS-grade acetonitrile, 5.0 mL acetic acid, 25 mL of 200 mM citrate, bring to 100 mL with water.</w:t>
      </w:r>
    </w:p>
    <w:p w14:paraId="68DD0DC8" w14:textId="77777777" w:rsidR="00AB3A4B" w:rsidRDefault="00AB3A4B" w:rsidP="00AB3A4B">
      <w:pPr>
        <w:pStyle w:val="Heading1"/>
      </w:pPr>
      <w:r>
        <w:t>Procedure</w:t>
      </w:r>
    </w:p>
    <w:p w14:paraId="03669192" w14:textId="77777777" w:rsidR="005F7F4C" w:rsidRPr="00995B13" w:rsidRDefault="005F7F4C" w:rsidP="005F7F4C">
      <w:pPr>
        <w:ind w:firstLine="360"/>
        <w:rPr>
          <w:sz w:val="22"/>
          <w:szCs w:val="22"/>
        </w:rPr>
      </w:pPr>
    </w:p>
    <w:p w14:paraId="22BB11BD" w14:textId="77777777" w:rsidR="005C339D" w:rsidRDefault="005C339D" w:rsidP="005C339D">
      <w:pPr>
        <w:pStyle w:val="ListParagraph"/>
        <w:numPr>
          <w:ilvl w:val="0"/>
          <w:numId w:val="5"/>
        </w:numPr>
      </w:pPr>
      <w:r>
        <w:tab/>
        <w:t>Resuspend the digested and desalted sample in 200 μL of 1 × PBS / 0.01% CHAPS using the 200 µL 96 well plates. If necessary, transfer the sample to the appropriate Capture Plate in the kit.</w:t>
      </w:r>
    </w:p>
    <w:p w14:paraId="7DA43E72" w14:textId="77777777" w:rsidR="005C339D" w:rsidRDefault="005C339D" w:rsidP="005C339D">
      <w:pPr>
        <w:pStyle w:val="ListParagraph"/>
        <w:numPr>
          <w:ilvl w:val="0"/>
          <w:numId w:val="5"/>
        </w:numPr>
      </w:pPr>
      <w:r>
        <w:tab/>
        <w:t xml:space="preserve">Check that the pH is between 7.5 - 8.0. If necessary, adjust with 1 M Tris, pH 8.0 (5-10 µL should be sufficient). </w:t>
      </w:r>
    </w:p>
    <w:p w14:paraId="20FCA3DC" w14:textId="77777777" w:rsidR="005C339D" w:rsidRDefault="005C339D" w:rsidP="005C339D">
      <w:pPr>
        <w:pStyle w:val="ListParagraph"/>
        <w:numPr>
          <w:ilvl w:val="0"/>
          <w:numId w:val="5"/>
        </w:numPr>
      </w:pPr>
      <w:r>
        <w:tab/>
        <w:t>Mix the Antibody beads in the tube provided. Dispense enough beads to complete a capture plate into a separate tube. Add 24 µL of the Antibody beads multi-mix #1 (</w:t>
      </w:r>
      <w:proofErr w:type="spellStart"/>
      <w:r>
        <w:t>mAbs</w:t>
      </w:r>
      <w:proofErr w:type="spellEnd"/>
      <w:r>
        <w:t xml:space="preserve"> to phosphorylated peptide targets) to each sample well. When adding the beads, vortex the bead solution and pipet the master mix bead solution up and down several times to ensure well-mixed beads. </w:t>
      </w:r>
    </w:p>
    <w:p w14:paraId="1726FFEC" w14:textId="77777777" w:rsidR="005C339D" w:rsidRDefault="005C339D" w:rsidP="005C339D">
      <w:pPr>
        <w:pStyle w:val="ListParagraph"/>
        <w:numPr>
          <w:ilvl w:val="0"/>
          <w:numId w:val="5"/>
        </w:numPr>
      </w:pPr>
      <w:r>
        <w:lastRenderedPageBreak/>
        <w:tab/>
        <w:t xml:space="preserve">Cover the plate with a Square Matrix </w:t>
      </w:r>
      <w:proofErr w:type="spellStart"/>
      <w:r>
        <w:t>CapMat</w:t>
      </w:r>
      <w:proofErr w:type="spellEnd"/>
      <w:r>
        <w:t xml:space="preserve"> (or Advantage Teflon Sealing Film). Align carefully and seal it by pressure to ensure that no liquid can leak from any of the wells.</w:t>
      </w:r>
    </w:p>
    <w:p w14:paraId="58FA95E1" w14:textId="400F229C" w:rsidR="005C339D" w:rsidRDefault="005C339D" w:rsidP="00A24EBC">
      <w:pPr>
        <w:pStyle w:val="ListParagraph"/>
        <w:numPr>
          <w:ilvl w:val="0"/>
          <w:numId w:val="5"/>
        </w:numPr>
      </w:pPr>
      <w:r>
        <w:tab/>
        <w:t xml:space="preserve">Incubate samples overnight at 4 °C with tumbling on a </w:t>
      </w:r>
      <w:proofErr w:type="spellStart"/>
      <w:r>
        <w:t>Labquake</w:t>
      </w:r>
      <w:proofErr w:type="spellEnd"/>
      <w:r>
        <w:t xml:space="preserve"> tube rotator or Lab Shaker.</w:t>
      </w:r>
    </w:p>
    <w:p w14:paraId="2054C77C" w14:textId="77777777" w:rsidR="005C339D" w:rsidRDefault="005C339D" w:rsidP="005C339D">
      <w:pPr>
        <w:pStyle w:val="ListParagraph"/>
        <w:numPr>
          <w:ilvl w:val="0"/>
          <w:numId w:val="5"/>
        </w:numPr>
      </w:pPr>
      <w:r>
        <w:tab/>
        <w:t>Remove samples from the tumbler and centrifuge at 800 × g for 30 seconds to remove liquid that may be on the mat surface. Then carefully remove the mat/seal.</w:t>
      </w:r>
    </w:p>
    <w:p w14:paraId="6F75A55A" w14:textId="3328CD5E" w:rsidR="005C339D" w:rsidRDefault="005C339D" w:rsidP="005C339D">
      <w:pPr>
        <w:pStyle w:val="ListParagraph"/>
        <w:numPr>
          <w:ilvl w:val="0"/>
          <w:numId w:val="5"/>
        </w:numPr>
      </w:pPr>
      <w:r>
        <w:tab/>
        <w:t xml:space="preserve">Wash the beads and elute the peptides (using </w:t>
      </w:r>
      <w:proofErr w:type="spellStart"/>
      <w:r>
        <w:t>KingFisher</w:t>
      </w:r>
      <w:proofErr w:type="spellEnd"/>
      <w:r>
        <w:t xml:space="preserve"> method). </w:t>
      </w:r>
    </w:p>
    <w:p w14:paraId="0F556E93" w14:textId="77777777" w:rsidR="005C339D" w:rsidRDefault="005C339D" w:rsidP="005C339D">
      <w:pPr>
        <w:pStyle w:val="ListParagraph"/>
        <w:numPr>
          <w:ilvl w:val="0"/>
          <w:numId w:val="5"/>
        </w:numPr>
      </w:pPr>
      <w:r>
        <w:tab/>
        <w:t xml:space="preserve">Wash the beads twice with 200 µL of 1 × PBS / 0.01% CHAPS and once with 200 µL of 0.1 × PBS / 0.01% CHAPS by mixing beads for 1.5 min in each wash solution. The peptides are eluted in PCR plates by mixing the beads for 5 min in 3% acetonitrile / 5% acetic acid / 50 mM citrate: </w:t>
      </w:r>
    </w:p>
    <w:p w14:paraId="2CFAB012" w14:textId="77777777" w:rsidR="005C339D" w:rsidRDefault="005C339D" w:rsidP="005C339D"/>
    <w:p w14:paraId="656C1F86" w14:textId="3F5B4F36" w:rsidR="005C339D" w:rsidRDefault="005C339D" w:rsidP="005C339D">
      <w:r>
        <w:t xml:space="preserve">The following lists plate components and positions on the </w:t>
      </w:r>
      <w:proofErr w:type="spellStart"/>
      <w:r>
        <w:t>KingFisher</w:t>
      </w:r>
      <w:proofErr w:type="spellEnd"/>
      <w:r>
        <w:t xml:space="preserve"> (note elution volume and buffer may change):</w:t>
      </w:r>
    </w:p>
    <w:p w14:paraId="00025005" w14:textId="77777777" w:rsidR="005C339D" w:rsidRDefault="005C339D" w:rsidP="005C339D"/>
    <w:p w14:paraId="73C4785A" w14:textId="35FAE1EA" w:rsidR="005C339D" w:rsidRDefault="005C339D" w:rsidP="005C339D">
      <w:r>
        <w:t xml:space="preserve"> </w:t>
      </w:r>
      <w:r w:rsidRPr="00D5550E">
        <w:rPr>
          <w:noProof/>
        </w:rPr>
        <w:drawing>
          <wp:inline distT="0" distB="0" distL="0" distR="0" wp14:anchorId="74B9AF90" wp14:editId="62E66B46">
            <wp:extent cx="5486400" cy="18551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855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9F8CD" w14:textId="77777777" w:rsidR="005C339D" w:rsidRDefault="005C339D" w:rsidP="005C339D"/>
    <w:p w14:paraId="57DAABA9" w14:textId="77777777" w:rsidR="005C339D" w:rsidRDefault="005C339D" w:rsidP="005C339D">
      <w:r>
        <w:t xml:space="preserve">The following shows the details of the </w:t>
      </w:r>
      <w:proofErr w:type="spellStart"/>
      <w:r>
        <w:t>KingFisher</w:t>
      </w:r>
      <w:proofErr w:type="spellEnd"/>
      <w:r>
        <w:t xml:space="preserve"> method employed for washing and eluting the samples. No </w:t>
      </w:r>
      <w:proofErr w:type="spellStart"/>
      <w:r>
        <w:t>precollection</w:t>
      </w:r>
      <w:proofErr w:type="spellEnd"/>
      <w:r>
        <w:t xml:space="preserve"> was employed at the beginning of any step, the samples were not heated during mixing, and no </w:t>
      </w:r>
      <w:proofErr w:type="spellStart"/>
      <w:r>
        <w:t>postmixing</w:t>
      </w:r>
      <w:proofErr w:type="spellEnd"/>
      <w:r>
        <w:t xml:space="preserve"> was employed at the end of any step. The method takes about 25 minutes.</w:t>
      </w:r>
    </w:p>
    <w:p w14:paraId="7AF84E67" w14:textId="77777777" w:rsidR="005C339D" w:rsidRDefault="005C339D" w:rsidP="005C339D"/>
    <w:p w14:paraId="22E4C7B8" w14:textId="682953B0" w:rsidR="005C339D" w:rsidRDefault="005C339D" w:rsidP="005C339D">
      <w:r>
        <w:t xml:space="preserve"> </w:t>
      </w:r>
      <w:r w:rsidRPr="00D5550E">
        <w:rPr>
          <w:noProof/>
        </w:rPr>
        <w:drawing>
          <wp:inline distT="0" distB="0" distL="0" distR="0" wp14:anchorId="147C8831" wp14:editId="6D4F74AF">
            <wp:extent cx="5486400" cy="1807698"/>
            <wp:effectExtent l="0" t="0" r="0" b="2540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807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339D" w:rsidSect="00D83774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9CEF8" w14:textId="77777777" w:rsidR="00A61237" w:rsidRDefault="00A61237" w:rsidP="00161086">
      <w:r>
        <w:separator/>
      </w:r>
    </w:p>
  </w:endnote>
  <w:endnote w:type="continuationSeparator" w:id="0">
    <w:p w14:paraId="036A66D5" w14:textId="77777777" w:rsidR="00A61237" w:rsidRDefault="00A61237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8FF0C" w14:textId="77777777" w:rsidR="00A61237" w:rsidRPr="00E258E9" w:rsidRDefault="00A61237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E5EEE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E5EEE">
      <w:rPr>
        <w:rStyle w:val="PageNumber"/>
        <w:rFonts w:ascii="Arial" w:hAnsi="Arial" w:cs="Arial"/>
        <w:b/>
        <w:noProof/>
      </w:rPr>
      <w:t>10</w:t>
    </w:r>
    <w:r w:rsidRPr="00E258E9">
      <w:rPr>
        <w:rStyle w:val="PageNumber"/>
        <w:rFonts w:ascii="Arial" w:hAnsi="Arial" w:cs="Arial"/>
        <w:b/>
      </w:rPr>
      <w:fldChar w:fldCharType="end"/>
    </w:r>
  </w:p>
  <w:p w14:paraId="412D41EE" w14:textId="77777777" w:rsidR="00A61237" w:rsidRDefault="00A612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F9B15" w14:textId="77777777" w:rsidR="00A61237" w:rsidRDefault="00A61237" w:rsidP="00161086">
      <w:r>
        <w:separator/>
      </w:r>
    </w:p>
  </w:footnote>
  <w:footnote w:type="continuationSeparator" w:id="0">
    <w:p w14:paraId="656CC4E3" w14:textId="77777777" w:rsidR="00A61237" w:rsidRDefault="00A61237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F8B0E" w14:textId="77777777" w:rsidR="00A61237" w:rsidRDefault="009879DC">
    <w:pPr>
      <w:pStyle w:val="Header"/>
    </w:pPr>
    <w:r>
      <w:rPr>
        <w:noProof/>
      </w:rPr>
      <w:pict w14:anchorId="3D1CBA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09395" w14:textId="77777777" w:rsidR="00A61237" w:rsidRDefault="009879DC">
    <w:pPr>
      <w:pStyle w:val="Header"/>
    </w:pPr>
    <w:r>
      <w:rPr>
        <w:noProof/>
      </w:rPr>
      <w:pict w14:anchorId="122FF9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C8D86" w14:textId="77777777" w:rsidR="00A61237" w:rsidRDefault="009879DC">
    <w:pPr>
      <w:pStyle w:val="Header"/>
    </w:pPr>
    <w:r>
      <w:rPr>
        <w:noProof/>
      </w:rPr>
      <w:pict w14:anchorId="559660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F2ECB"/>
    <w:multiLevelType w:val="hybridMultilevel"/>
    <w:tmpl w:val="B486F2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5D19CA"/>
    <w:multiLevelType w:val="hybridMultilevel"/>
    <w:tmpl w:val="FF16AEBC"/>
    <w:lvl w:ilvl="0" w:tplc="D2022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13594"/>
    <w:multiLevelType w:val="hybridMultilevel"/>
    <w:tmpl w:val="E730B4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9342D"/>
    <w:multiLevelType w:val="hybridMultilevel"/>
    <w:tmpl w:val="D9AE94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86"/>
    <w:rsid w:val="00003189"/>
    <w:rsid w:val="00041BFC"/>
    <w:rsid w:val="00052403"/>
    <w:rsid w:val="00057F46"/>
    <w:rsid w:val="000C01D0"/>
    <w:rsid w:val="000D21D2"/>
    <w:rsid w:val="000F5117"/>
    <w:rsid w:val="00103FCD"/>
    <w:rsid w:val="00116C2C"/>
    <w:rsid w:val="00123D30"/>
    <w:rsid w:val="00161086"/>
    <w:rsid w:val="00164B2E"/>
    <w:rsid w:val="00172A39"/>
    <w:rsid w:val="001A365D"/>
    <w:rsid w:val="001A7BB3"/>
    <w:rsid w:val="001C23C7"/>
    <w:rsid w:val="00231933"/>
    <w:rsid w:val="00254059"/>
    <w:rsid w:val="00293025"/>
    <w:rsid w:val="002C4F9D"/>
    <w:rsid w:val="0032439E"/>
    <w:rsid w:val="003357F9"/>
    <w:rsid w:val="00345FFC"/>
    <w:rsid w:val="00363722"/>
    <w:rsid w:val="003972A0"/>
    <w:rsid w:val="003E5B88"/>
    <w:rsid w:val="004606F3"/>
    <w:rsid w:val="004929DB"/>
    <w:rsid w:val="004A22EE"/>
    <w:rsid w:val="005061B2"/>
    <w:rsid w:val="00534E3C"/>
    <w:rsid w:val="00545A0B"/>
    <w:rsid w:val="00564ED1"/>
    <w:rsid w:val="005902BD"/>
    <w:rsid w:val="005C339D"/>
    <w:rsid w:val="005F7F4C"/>
    <w:rsid w:val="0060274B"/>
    <w:rsid w:val="006314D0"/>
    <w:rsid w:val="006673AD"/>
    <w:rsid w:val="00686519"/>
    <w:rsid w:val="00697D98"/>
    <w:rsid w:val="006B549D"/>
    <w:rsid w:val="006C040A"/>
    <w:rsid w:val="006E3DEC"/>
    <w:rsid w:val="007019C9"/>
    <w:rsid w:val="00746E50"/>
    <w:rsid w:val="00760142"/>
    <w:rsid w:val="00786D9B"/>
    <w:rsid w:val="00797D04"/>
    <w:rsid w:val="007B7C32"/>
    <w:rsid w:val="008339AD"/>
    <w:rsid w:val="00850370"/>
    <w:rsid w:val="00886DA1"/>
    <w:rsid w:val="008D79E8"/>
    <w:rsid w:val="00901F1C"/>
    <w:rsid w:val="00912B3F"/>
    <w:rsid w:val="00913099"/>
    <w:rsid w:val="00915B05"/>
    <w:rsid w:val="00942D07"/>
    <w:rsid w:val="00957EF6"/>
    <w:rsid w:val="0098103A"/>
    <w:rsid w:val="009879DC"/>
    <w:rsid w:val="00995B13"/>
    <w:rsid w:val="009B4B8A"/>
    <w:rsid w:val="009E390D"/>
    <w:rsid w:val="009F6812"/>
    <w:rsid w:val="009F764C"/>
    <w:rsid w:val="00A162A8"/>
    <w:rsid w:val="00A17348"/>
    <w:rsid w:val="00A249FF"/>
    <w:rsid w:val="00A24EBC"/>
    <w:rsid w:val="00A4037F"/>
    <w:rsid w:val="00A61237"/>
    <w:rsid w:val="00A637D6"/>
    <w:rsid w:val="00AB3A4B"/>
    <w:rsid w:val="00AE5EEE"/>
    <w:rsid w:val="00AF770C"/>
    <w:rsid w:val="00B4092A"/>
    <w:rsid w:val="00B43469"/>
    <w:rsid w:val="00B76D5E"/>
    <w:rsid w:val="00B96A22"/>
    <w:rsid w:val="00BA6FCE"/>
    <w:rsid w:val="00BB1274"/>
    <w:rsid w:val="00BB4140"/>
    <w:rsid w:val="00BB47E0"/>
    <w:rsid w:val="00C46B0A"/>
    <w:rsid w:val="00C66FFB"/>
    <w:rsid w:val="00CD78D7"/>
    <w:rsid w:val="00CE42C5"/>
    <w:rsid w:val="00CE5D6E"/>
    <w:rsid w:val="00D45FD6"/>
    <w:rsid w:val="00D60E73"/>
    <w:rsid w:val="00D809C3"/>
    <w:rsid w:val="00D83774"/>
    <w:rsid w:val="00D8568C"/>
    <w:rsid w:val="00DC0374"/>
    <w:rsid w:val="00DF5811"/>
    <w:rsid w:val="00E462A2"/>
    <w:rsid w:val="00E57654"/>
    <w:rsid w:val="00E607B9"/>
    <w:rsid w:val="00E64BA7"/>
    <w:rsid w:val="00E64E3D"/>
    <w:rsid w:val="00E934F9"/>
    <w:rsid w:val="00EB4472"/>
    <w:rsid w:val="00ED0705"/>
    <w:rsid w:val="00F04176"/>
    <w:rsid w:val="00F16755"/>
    <w:rsid w:val="00F30D67"/>
    <w:rsid w:val="00F91EF8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CDBD3E"/>
  <w14:defaultImageDpi w14:val="330"/>
  <w15:docId w15:val="{87E756AD-AB31-4540-A7D5-F1779BC36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paragraph" w:customStyle="1" w:styleId="EndNoteBibliography">
    <w:name w:val="EndNote Bibliography"/>
    <w:basedOn w:val="Normal"/>
    <w:link w:val="EndNoteBibliographyChar"/>
    <w:rsid w:val="00041BFC"/>
    <w:pPr>
      <w:spacing w:after="200"/>
    </w:pPr>
    <w:rPr>
      <w:rFonts w:ascii="Calibri" w:eastAsiaTheme="minorHAns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041BFC"/>
    <w:rPr>
      <w:rFonts w:ascii="Calibri" w:eastAsiaTheme="minorHAnsi" w:hAnsi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582</Words>
  <Characters>3696</Characters>
  <Application>Microsoft Office Word</Application>
  <DocSecurity>0</DocSecurity>
  <Lines>264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Whiteaker PhD, Jeffrey</cp:lastModifiedBy>
  <cp:revision>5</cp:revision>
  <cp:lastPrinted>2014-10-17T19:52:00Z</cp:lastPrinted>
  <dcterms:created xsi:type="dcterms:W3CDTF">2021-03-04T19:44:00Z</dcterms:created>
  <dcterms:modified xsi:type="dcterms:W3CDTF">2022-11-03T21:20:00Z</dcterms:modified>
</cp:coreProperties>
</file>